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15BEBAD0" w:rsidR="003F3A41" w:rsidRPr="00500C4E" w:rsidRDefault="00A57D36" w:rsidP="00A57D36">
      <w:pPr>
        <w:pStyle w:val="WPnumber"/>
      </w:pPr>
      <w:bookmarkStart w:id="0" w:name="_Toc153189647"/>
      <w:bookmarkStart w:id="1" w:name="_Toc214003082"/>
      <w:r w:rsidRPr="00500C4E">
        <w:t xml:space="preserve">Work Paper </w:t>
      </w:r>
      <w:sdt>
        <w:sdtPr>
          <w:rPr>
            <w:rFonts w:cs="Arial"/>
          </w:r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036D9C" w:rsidRPr="00036D9C">
            <w:rPr>
              <w:rFonts w:cs="Arial"/>
            </w:rPr>
            <w:t>PGECOHVC168</w:t>
          </w:r>
        </w:sdtContent>
      </w:sdt>
    </w:p>
    <w:bookmarkEnd w:id="0"/>
    <w:p w14:paraId="7601CE2F" w14:textId="077A01A0" w:rsidR="00DA690B" w:rsidRPr="00500C4E" w:rsidRDefault="00ED7D79"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018D7" w:rsidRPr="00500C4E">
            <w:rPr>
              <w:rStyle w:val="CaptionChar"/>
              <w:rFonts w:asciiTheme="minorHAnsi" w:hAnsiTheme="minorHAnsi" w:cstheme="minorHAnsi"/>
              <w:b/>
              <w:bCs w:val="0"/>
              <w:sz w:val="48"/>
              <w:szCs w:val="48"/>
            </w:rPr>
            <w:t xml:space="preserve">Revision </w:t>
          </w:r>
          <w:r w:rsidR="003018D7">
            <w:rPr>
              <w:rStyle w:val="CaptionChar"/>
              <w:rFonts w:asciiTheme="minorHAnsi" w:hAnsiTheme="minorHAnsi" w:cstheme="minorHAnsi"/>
              <w:b/>
              <w:bCs w:val="0"/>
              <w:sz w:val="48"/>
              <w:szCs w:val="48"/>
            </w:rPr>
            <w:t>2</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27AB6A7F" w:rsidR="00DA690B" w:rsidRPr="00500C4E" w:rsidRDefault="00ED7D79"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036D9C" w:rsidRPr="00036D9C">
            <w:rPr>
              <w:rFonts w:cstheme="minorHAnsi"/>
              <w:b/>
              <w:sz w:val="36"/>
              <w:szCs w:val="36"/>
            </w:rPr>
            <w:t>Pacific Gas &amp; Electric Company</w:t>
          </w:r>
        </w:sdtContent>
      </w:sdt>
      <w:bookmarkEnd w:id="2"/>
    </w:p>
    <w:p w14:paraId="29354732" w14:textId="145CD605" w:rsidR="00DA690B" w:rsidRPr="00500C4E" w:rsidRDefault="00036D9C" w:rsidP="00DA690B">
      <w:pPr>
        <w:rPr>
          <w:rFonts w:cstheme="minorHAnsi"/>
        </w:rPr>
      </w:pPr>
      <w:r w:rsidRPr="00DD3825">
        <w:rPr>
          <w:rFonts w:cs="Arial"/>
          <w:b/>
          <w:sz w:val="32"/>
          <w:szCs w:val="32"/>
        </w:rPr>
        <w:t>Customer Energy Solutions</w:t>
      </w: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bookmarkStart w:id="3" w:name="_GoBack"/>
      <w:bookmarkEnd w:id="3"/>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6FF981B" w:rsidR="00DA690B" w:rsidRPr="00500C4E" w:rsidRDefault="00036D9C" w:rsidP="00DA690B">
      <w:pPr>
        <w:rPr>
          <w:rFonts w:cstheme="minorHAnsi"/>
          <w:b/>
          <w:sz w:val="72"/>
          <w:szCs w:val="72"/>
        </w:rPr>
      </w:pPr>
      <w:r w:rsidRPr="00036D9C">
        <w:rPr>
          <w:rFonts w:cstheme="minorHAnsi"/>
          <w:b/>
          <w:sz w:val="72"/>
          <w:szCs w:val="72"/>
        </w:rPr>
        <w:t>Demand Controlled Ventilation for Single Zone Packaged HVAC</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BCCBBE5" w14:textId="1C78A294" w:rsidR="00523736" w:rsidRPr="00500C4E" w:rsidRDefault="00523736" w:rsidP="00E76B31">
      <w:pPr>
        <w:pStyle w:val="Reminders"/>
        <w:rPr>
          <w:rFonts w:asciiTheme="minorHAnsi" w:hAnsiTheme="minorHAnsi" w:cstheme="minorHAnsi"/>
          <w:b/>
          <w:i w:val="0"/>
          <w:sz w:val="32"/>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78FEE67B" w14:textId="3A3BD88E" w:rsidR="00EF4E6B" w:rsidRPr="00500C4E" w:rsidRDefault="00EF4E6B" w:rsidP="00EF4E6B">
      <w:pPr>
        <w:pStyle w:val="Reminders"/>
        <w:rPr>
          <w:rFonts w:asciiTheme="minorHAnsi" w:hAnsiTheme="minorHAnsi" w:cstheme="minorHAnsi"/>
          <w:b/>
          <w:i w:val="0"/>
          <w:color w:val="0070C0"/>
          <w:sz w:val="32"/>
          <w:szCs w:val="22"/>
        </w:rPr>
      </w:pPr>
      <w:r w:rsidRPr="00500C4E">
        <w:rPr>
          <w:rFonts w:asciiTheme="minorHAnsi" w:hAnsiTheme="minorHAnsi" w:cstheme="minorHAnsi"/>
          <w:b/>
          <w:i w:val="0"/>
          <w:color w:val="0070C0"/>
          <w:sz w:val="32"/>
          <w:szCs w:val="22"/>
        </w:rPr>
        <w:t>For W</w:t>
      </w:r>
      <w:r w:rsidR="00500C4E" w:rsidRPr="00500C4E">
        <w:rPr>
          <w:rFonts w:asciiTheme="minorHAnsi" w:hAnsiTheme="minorHAnsi" w:cstheme="minorHAnsi"/>
          <w:b/>
          <w:i w:val="0"/>
          <w:color w:val="0070C0"/>
          <w:sz w:val="32"/>
          <w:szCs w:val="22"/>
        </w:rPr>
        <w:t>ork Paper</w:t>
      </w:r>
      <w:r w:rsidRPr="00500C4E">
        <w:rPr>
          <w:rFonts w:asciiTheme="minorHAnsi" w:hAnsiTheme="minorHAnsi" w:cstheme="minorHAnsi"/>
          <w:b/>
          <w:i w:val="0"/>
          <w:color w:val="0070C0"/>
          <w:sz w:val="32"/>
          <w:szCs w:val="22"/>
        </w:rPr>
        <w:t xml:space="preserve"> Reviewer Use Only</w:t>
      </w:r>
    </w:p>
    <w:p w14:paraId="65DD049A" w14:textId="2A0780AF" w:rsidR="00523736" w:rsidRPr="00500C4E" w:rsidRDefault="00EF4E6B" w:rsidP="00EF4E6B">
      <w:pPr>
        <w:pStyle w:val="Reminders"/>
        <w:rPr>
          <w:rFonts w:asciiTheme="minorHAnsi" w:hAnsiTheme="minorHAnsi" w:cstheme="minorHAnsi"/>
          <w:b/>
          <w:i w:val="0"/>
          <w:sz w:val="36"/>
          <w:szCs w:val="22"/>
        </w:rPr>
      </w:pPr>
      <w:r w:rsidRPr="00500C4E">
        <w:rPr>
          <w:rFonts w:asciiTheme="minorHAnsi" w:hAnsiTheme="minorHAnsi" w:cstheme="minorHAnsi"/>
          <w:b/>
          <w:i w:val="0"/>
          <w:color w:val="0070C0"/>
          <w:szCs w:val="20"/>
        </w:rPr>
        <w:t>List</w:t>
      </w:r>
      <w:r w:rsidR="00500C4E" w:rsidRPr="00500C4E">
        <w:rPr>
          <w:rFonts w:asciiTheme="minorHAnsi" w:hAnsiTheme="minorHAnsi" w:cstheme="minorHAnsi"/>
          <w:b/>
          <w:i w:val="0"/>
          <w:color w:val="0070C0"/>
          <w:szCs w:val="20"/>
        </w:rPr>
        <w:t xml:space="preserve"> all</w:t>
      </w:r>
      <w:r w:rsidRPr="00500C4E">
        <w:rPr>
          <w:rFonts w:asciiTheme="minorHAnsi" w:hAnsiTheme="minorHAnsi" w:cstheme="minorHAnsi"/>
          <w:b/>
          <w:i w:val="0"/>
          <w:color w:val="0070C0"/>
          <w:szCs w:val="20"/>
        </w:rPr>
        <w:t xml:space="preserve"> major comments that occurred during the review. This table may only be removed</w:t>
      </w:r>
      <w:r w:rsidR="00205C45" w:rsidRPr="00500C4E">
        <w:rPr>
          <w:rFonts w:asciiTheme="minorHAnsi" w:hAnsiTheme="minorHAnsi" w:cstheme="minorHAnsi"/>
          <w:b/>
          <w:i w:val="0"/>
          <w:color w:val="0070C0"/>
          <w:szCs w:val="20"/>
        </w:rPr>
        <w:t xml:space="preserve"> during management review</w:t>
      </w:r>
      <w:r w:rsidR="00F65ABA" w:rsidRPr="00500C4E">
        <w:rPr>
          <w:rFonts w:asciiTheme="minorHAnsi" w:hAnsiTheme="minorHAnsi" w:cstheme="minorHAnsi"/>
          <w:b/>
          <w:i w:val="0"/>
          <w:color w:val="0070C0"/>
          <w:szCs w:val="20"/>
        </w:rPr>
        <w:t>.</w:t>
      </w:r>
    </w:p>
    <w:tbl>
      <w:tblPr>
        <w:tblStyle w:val="TableGrid1"/>
        <w:tblW w:w="5000" w:type="pct"/>
        <w:tblLook w:val="04A0" w:firstRow="1" w:lastRow="0" w:firstColumn="1" w:lastColumn="0" w:noHBand="0" w:noVBand="1"/>
      </w:tblPr>
      <w:tblGrid>
        <w:gridCol w:w="3866"/>
        <w:gridCol w:w="1333"/>
        <w:gridCol w:w="799"/>
        <w:gridCol w:w="3578"/>
      </w:tblGrid>
      <w:tr w:rsidR="001B2301" w:rsidRPr="00500C4E" w14:paraId="04E914EA" w14:textId="77777777" w:rsidTr="00920905">
        <w:tc>
          <w:tcPr>
            <w:tcW w:w="2019" w:type="pct"/>
            <w:shd w:val="clear" w:color="auto" w:fill="D9D9D9" w:themeFill="background1" w:themeFillShade="D9"/>
          </w:tcPr>
          <w:p w14:paraId="6B0674F7"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Major Comment</w:t>
            </w:r>
          </w:p>
        </w:tc>
        <w:tc>
          <w:tcPr>
            <w:tcW w:w="696" w:type="pct"/>
            <w:shd w:val="clear" w:color="auto" w:fill="D9D9D9" w:themeFill="background1" w:themeFillShade="D9"/>
          </w:tcPr>
          <w:p w14:paraId="71C20C95"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Reviewer Name</w:t>
            </w:r>
          </w:p>
        </w:tc>
        <w:tc>
          <w:tcPr>
            <w:tcW w:w="417" w:type="pct"/>
            <w:shd w:val="clear" w:color="auto" w:fill="D9D9D9" w:themeFill="background1" w:themeFillShade="D9"/>
          </w:tcPr>
          <w:p w14:paraId="3C699CDA"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Date</w:t>
            </w:r>
          </w:p>
        </w:tc>
        <w:tc>
          <w:tcPr>
            <w:tcW w:w="1868" w:type="pct"/>
            <w:shd w:val="clear" w:color="auto" w:fill="D9D9D9" w:themeFill="background1" w:themeFillShade="D9"/>
          </w:tcPr>
          <w:p w14:paraId="3AB32040"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 xml:space="preserve">Outcome/Resolution </w:t>
            </w:r>
          </w:p>
        </w:tc>
      </w:tr>
      <w:tr w:rsidR="001B2301" w:rsidRPr="00500C4E" w14:paraId="72B1DF65" w14:textId="77777777" w:rsidTr="00920905">
        <w:tc>
          <w:tcPr>
            <w:tcW w:w="2019" w:type="pct"/>
          </w:tcPr>
          <w:p w14:paraId="7CD40A6E" w14:textId="4D64A81D" w:rsidR="001B2301" w:rsidRPr="003D17FF" w:rsidRDefault="001B2301" w:rsidP="00920905">
            <w:pPr>
              <w:pStyle w:val="Reminders"/>
              <w:spacing w:before="0" w:after="0"/>
              <w:rPr>
                <w:rFonts w:asciiTheme="minorHAnsi" w:hAnsiTheme="minorHAnsi" w:cstheme="minorHAnsi"/>
                <w:i w:val="0"/>
                <w:color w:val="0070C0"/>
                <w:szCs w:val="20"/>
              </w:rPr>
            </w:pPr>
            <w:r w:rsidRPr="003D17FF">
              <w:rPr>
                <w:rFonts w:asciiTheme="minorHAnsi" w:hAnsiTheme="minorHAnsi" w:cstheme="minorHAnsi"/>
                <w:i w:val="0"/>
                <w:color w:val="0070C0"/>
                <w:szCs w:val="20"/>
              </w:rPr>
              <w:t xml:space="preserve">E.g. Please remove </w:t>
            </w:r>
            <w:r w:rsidR="003A3170" w:rsidRPr="003D17FF">
              <w:rPr>
                <w:rFonts w:asciiTheme="minorHAnsi" w:hAnsiTheme="minorHAnsi" w:cstheme="minorHAnsi"/>
                <w:i w:val="0"/>
                <w:color w:val="0070C0"/>
                <w:szCs w:val="20"/>
              </w:rPr>
              <w:t>measure</w:t>
            </w:r>
            <w:r w:rsidRPr="003D17FF">
              <w:rPr>
                <w:rFonts w:asciiTheme="minorHAnsi" w:hAnsiTheme="minorHAnsi" w:cstheme="minorHAnsi"/>
                <w:i w:val="0"/>
                <w:color w:val="0070C0"/>
                <w:szCs w:val="20"/>
              </w:rPr>
              <w:t xml:space="preserve"> LT-1</w:t>
            </w:r>
            <w:r w:rsidR="00160158" w:rsidRPr="00920905">
              <w:rPr>
                <w:rFonts w:asciiTheme="minorHAnsi" w:hAnsiTheme="minorHAnsi" w:cstheme="minorHAnsi"/>
                <w:i w:val="0"/>
                <w:color w:val="0070C0"/>
                <w:szCs w:val="20"/>
              </w:rPr>
              <w:t>2345 (LD123)</w:t>
            </w:r>
            <w:r w:rsidRPr="003D17FF">
              <w:rPr>
                <w:rFonts w:asciiTheme="minorHAnsi" w:hAnsiTheme="minorHAnsi" w:cstheme="minorHAnsi"/>
                <w:i w:val="0"/>
                <w:color w:val="0070C0"/>
                <w:szCs w:val="20"/>
              </w:rPr>
              <w:t xml:space="preserve"> from this work paper because it is no longer eligible for incentives.</w:t>
            </w:r>
          </w:p>
        </w:tc>
        <w:tc>
          <w:tcPr>
            <w:tcW w:w="696" w:type="pct"/>
          </w:tcPr>
          <w:p w14:paraId="6DA10B5B" w14:textId="6AD97364" w:rsidR="001B2301" w:rsidRPr="003D17FF" w:rsidRDefault="002A523E" w:rsidP="00920905">
            <w:pPr>
              <w:pStyle w:val="Reminders"/>
              <w:spacing w:before="0" w:after="0"/>
              <w:rPr>
                <w:rFonts w:asciiTheme="minorHAnsi" w:hAnsiTheme="minorHAnsi" w:cstheme="minorHAnsi"/>
                <w:i w:val="0"/>
                <w:color w:val="0070C0"/>
                <w:szCs w:val="20"/>
              </w:rPr>
            </w:pPr>
            <w:r>
              <w:rPr>
                <w:rFonts w:asciiTheme="minorHAnsi" w:hAnsiTheme="minorHAnsi" w:cstheme="minorHAnsi"/>
                <w:i w:val="0"/>
                <w:color w:val="0070C0"/>
                <w:szCs w:val="20"/>
              </w:rPr>
              <w:t>Reviewer 1</w:t>
            </w:r>
          </w:p>
        </w:tc>
        <w:tc>
          <w:tcPr>
            <w:tcW w:w="417" w:type="pct"/>
          </w:tcPr>
          <w:p w14:paraId="563D8364" w14:textId="332CB4FF" w:rsidR="001B2301" w:rsidRPr="003D17FF" w:rsidRDefault="002A523E" w:rsidP="00920905">
            <w:pPr>
              <w:pStyle w:val="Reminders"/>
              <w:spacing w:before="0" w:after="0"/>
              <w:rPr>
                <w:rFonts w:asciiTheme="minorHAnsi" w:hAnsiTheme="minorHAnsi" w:cstheme="minorHAnsi"/>
                <w:i w:val="0"/>
                <w:color w:val="0070C0"/>
                <w:szCs w:val="20"/>
              </w:rPr>
            </w:pPr>
            <w:r>
              <w:rPr>
                <w:rFonts w:asciiTheme="minorHAnsi" w:hAnsiTheme="minorHAnsi" w:cstheme="minorHAnsi"/>
                <w:i w:val="0"/>
                <w:color w:val="0070C0"/>
                <w:szCs w:val="20"/>
              </w:rPr>
              <w:t>6/1/15</w:t>
            </w:r>
          </w:p>
        </w:tc>
        <w:tc>
          <w:tcPr>
            <w:tcW w:w="1868" w:type="pct"/>
          </w:tcPr>
          <w:p w14:paraId="10E66B5F" w14:textId="29923030" w:rsidR="001B2301" w:rsidRPr="003D17FF" w:rsidRDefault="001B2301" w:rsidP="00920905">
            <w:pPr>
              <w:pStyle w:val="Reminders"/>
              <w:spacing w:before="0" w:after="0"/>
              <w:rPr>
                <w:rFonts w:asciiTheme="minorHAnsi" w:hAnsiTheme="minorHAnsi" w:cstheme="minorHAnsi"/>
                <w:i w:val="0"/>
                <w:color w:val="0070C0"/>
                <w:szCs w:val="20"/>
              </w:rPr>
            </w:pPr>
            <w:r w:rsidRPr="003D17FF">
              <w:rPr>
                <w:rFonts w:asciiTheme="minorHAnsi" w:hAnsiTheme="minorHAnsi" w:cstheme="minorHAnsi"/>
                <w:i w:val="0"/>
                <w:color w:val="0070C0"/>
                <w:szCs w:val="20"/>
              </w:rPr>
              <w:t>E.g.</w:t>
            </w:r>
            <w:r w:rsidR="00160158" w:rsidRPr="00920905">
              <w:rPr>
                <w:rFonts w:asciiTheme="minorHAnsi" w:hAnsiTheme="minorHAnsi" w:cstheme="minorHAnsi"/>
                <w:i w:val="0"/>
                <w:color w:val="0070C0"/>
                <w:szCs w:val="20"/>
              </w:rPr>
              <w:t xml:space="preserve"> Comment</w:t>
            </w:r>
            <w:r w:rsidRPr="003D17FF">
              <w:rPr>
                <w:rFonts w:asciiTheme="minorHAnsi" w:hAnsiTheme="minorHAnsi" w:cstheme="minorHAnsi"/>
                <w:i w:val="0"/>
                <w:color w:val="0070C0"/>
                <w:szCs w:val="20"/>
              </w:rPr>
              <w:t xml:space="preserve"> </w:t>
            </w:r>
            <w:r w:rsidR="00160158" w:rsidRPr="00920905">
              <w:rPr>
                <w:rFonts w:asciiTheme="minorHAnsi" w:hAnsiTheme="minorHAnsi" w:cstheme="minorHAnsi"/>
                <w:i w:val="0"/>
                <w:color w:val="0070C0"/>
                <w:szCs w:val="20"/>
              </w:rPr>
              <w:t>i</w:t>
            </w:r>
            <w:r w:rsidRPr="003D17FF">
              <w:rPr>
                <w:rFonts w:asciiTheme="minorHAnsi" w:hAnsiTheme="minorHAnsi" w:cstheme="minorHAnsi"/>
                <w:i w:val="0"/>
                <w:color w:val="0070C0"/>
                <w:szCs w:val="20"/>
              </w:rPr>
              <w:t>ncorporated.</w:t>
            </w:r>
            <w:r w:rsidR="00160158" w:rsidRPr="00920905">
              <w:rPr>
                <w:rFonts w:asciiTheme="minorHAnsi" w:hAnsiTheme="minorHAnsi" w:cstheme="minorHAnsi"/>
                <w:i w:val="0"/>
                <w:color w:val="0070C0"/>
                <w:szCs w:val="20"/>
              </w:rPr>
              <w:t xml:space="preserve"> </w:t>
            </w:r>
            <w:r w:rsidR="00F60265">
              <w:rPr>
                <w:rFonts w:asciiTheme="minorHAnsi" w:hAnsiTheme="minorHAnsi" w:cstheme="minorHAnsi"/>
                <w:i w:val="0"/>
                <w:color w:val="0070C0"/>
                <w:szCs w:val="20"/>
              </w:rPr>
              <w:t>LT-12345</w:t>
            </w:r>
            <w:r w:rsidR="00160158" w:rsidRPr="00920905">
              <w:rPr>
                <w:rFonts w:asciiTheme="minorHAnsi" w:hAnsiTheme="minorHAnsi" w:cstheme="minorHAnsi"/>
                <w:i w:val="0"/>
                <w:color w:val="0070C0"/>
                <w:szCs w:val="20"/>
              </w:rPr>
              <w:t xml:space="preserve"> was removed.</w:t>
            </w:r>
          </w:p>
        </w:tc>
      </w:tr>
      <w:tr w:rsidR="001B2301" w:rsidRPr="00500C4E" w14:paraId="7FB7EDF0" w14:textId="77777777" w:rsidTr="00920905">
        <w:tc>
          <w:tcPr>
            <w:tcW w:w="2019" w:type="pct"/>
          </w:tcPr>
          <w:p w14:paraId="2CD41543" w14:textId="46F5011E"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5F4070A6"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462E6AD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DC4BDF2" w14:textId="4038C3E6"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21B60B1" w14:textId="77777777" w:rsidTr="00920905">
        <w:tc>
          <w:tcPr>
            <w:tcW w:w="2019" w:type="pct"/>
          </w:tcPr>
          <w:p w14:paraId="4E30084C"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23BB2C0B"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E95731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266C418C"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04337D5" w14:textId="77777777" w:rsidTr="00920905">
        <w:tc>
          <w:tcPr>
            <w:tcW w:w="2019" w:type="pct"/>
          </w:tcPr>
          <w:p w14:paraId="0F592F0F"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B6F143C" w14:textId="64B495E1"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1F682E12" w14:textId="74E08754"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ABC2E25"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bl>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036D9C" w:rsidRPr="00500C4E" w14:paraId="4D3A4AB5" w14:textId="77777777" w:rsidTr="00920905">
        <w:trPr>
          <w:trHeight w:val="465"/>
        </w:trPr>
        <w:tc>
          <w:tcPr>
            <w:tcW w:w="1875" w:type="pct"/>
          </w:tcPr>
          <w:p w14:paraId="4D8DADAE" w14:textId="129EB9BE" w:rsidR="00036D9C" w:rsidRPr="00920905" w:rsidRDefault="00036D9C" w:rsidP="00036D9C">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7A915B7E" w:rsidR="00036D9C" w:rsidRPr="00500C4E" w:rsidRDefault="00036D9C" w:rsidP="00036D9C">
            <w:pPr>
              <w:rPr>
                <w:rFonts w:cs="Arial"/>
                <w:bCs/>
                <w:color w:val="FF0000"/>
                <w:szCs w:val="20"/>
              </w:rPr>
            </w:pPr>
            <w:r w:rsidRPr="00B36304">
              <w:t>HV026, HV027, HV028, HV029, HV030, HV031</w:t>
            </w:r>
          </w:p>
        </w:tc>
      </w:tr>
      <w:tr w:rsidR="00036D9C" w:rsidRPr="00500C4E" w14:paraId="63B310F0" w14:textId="77777777" w:rsidTr="00920905">
        <w:trPr>
          <w:trHeight w:val="465"/>
        </w:trPr>
        <w:tc>
          <w:tcPr>
            <w:tcW w:w="1875" w:type="pct"/>
          </w:tcPr>
          <w:p w14:paraId="5050E2A3" w14:textId="2CBF1387" w:rsidR="00036D9C" w:rsidRPr="00500C4E" w:rsidRDefault="00036D9C" w:rsidP="00036D9C">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22401B5C" w:rsidR="00036D9C" w:rsidRPr="00500C4E" w:rsidRDefault="00036D9C" w:rsidP="00036D9C">
            <w:pPr>
              <w:rPr>
                <w:rFonts w:cs="Arial"/>
                <w:color w:val="FF0000"/>
                <w:szCs w:val="20"/>
              </w:rPr>
            </w:pPr>
            <w:r w:rsidRPr="00B36304">
              <w:t>Add Demand Controlled Ventilation (DCV) to an existing packaged single zone direct expansion (DX) HVAC unit with an economizer.</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64BA9586" w:rsidR="00290ED8" w:rsidRPr="00036D9C" w:rsidRDefault="00036D9C">
            <w:pPr>
              <w:rPr>
                <w:rFonts w:cs="Arial"/>
                <w:szCs w:val="20"/>
              </w:rPr>
            </w:pPr>
            <w:r w:rsidRPr="00036D9C">
              <w:rPr>
                <w:rFonts w:cs="Arial"/>
                <w:szCs w:val="20"/>
              </w:rPr>
              <w:t>Fixed position ventilation corresponding to Title 24 201</w:t>
            </w:r>
            <w:r w:rsidR="00313763">
              <w:rPr>
                <w:rFonts w:cs="Arial"/>
                <w:szCs w:val="20"/>
              </w:rPr>
              <w:t>6</w:t>
            </w:r>
            <w:r w:rsidRPr="00036D9C">
              <w:rPr>
                <w:rFonts w:cs="Arial"/>
                <w:szCs w:val="20"/>
              </w:rPr>
              <w:t xml:space="preserve"> requirement or 20% of supply air, whichever is greater</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65072805" w:rsidR="00D36798" w:rsidRPr="00036D9C" w:rsidRDefault="00313763">
            <w:pPr>
              <w:rPr>
                <w:rFonts w:cs="Arial"/>
                <w:szCs w:val="20"/>
              </w:rPr>
            </w:pPr>
            <w:r>
              <w:rPr>
                <w:rFonts w:cs="Arial"/>
                <w:szCs w:val="20"/>
              </w:rPr>
              <w:t>P</w:t>
            </w:r>
            <w:r w:rsidR="00D36798" w:rsidRPr="00036D9C">
              <w:rPr>
                <w:rFonts w:cs="Arial"/>
                <w:szCs w:val="20"/>
              </w:rPr>
              <w:t>er ton</w:t>
            </w:r>
            <w:r>
              <w:rPr>
                <w:rFonts w:cs="Arial"/>
                <w:szCs w:val="20"/>
              </w:rPr>
              <w:t xml:space="preserve"> cooling capacity, Cap-Tons.</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036D9C" w:rsidRDefault="00D36798">
            <w:pPr>
              <w:rPr>
                <w:rFonts w:cs="Arial"/>
                <w:szCs w:val="20"/>
              </w:rPr>
            </w:pPr>
            <w:r w:rsidRPr="00036D9C">
              <w:rPr>
                <w:rFonts w:cs="Arial"/>
                <w:szCs w:val="20"/>
              </w:rPr>
              <w:t>Refer to Excel Calculation Attachment</w:t>
            </w:r>
          </w:p>
        </w:tc>
      </w:tr>
      <w:tr w:rsidR="00160C80" w:rsidRPr="00500C4E" w14:paraId="59238971" w14:textId="77777777" w:rsidTr="00920905">
        <w:trPr>
          <w:trHeight w:val="465"/>
        </w:trPr>
        <w:tc>
          <w:tcPr>
            <w:tcW w:w="1875" w:type="pct"/>
            <w:vMerge w:val="restart"/>
          </w:tcPr>
          <w:p w14:paraId="23F1F310" w14:textId="2C0A7AF3" w:rsidR="00160C80" w:rsidRPr="00500C4E" w:rsidRDefault="00160C80" w:rsidP="00D15A7B">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140684DB" w14:textId="1678F516" w:rsidR="00160C80" w:rsidRPr="00FB6191" w:rsidDel="00313763" w:rsidRDefault="00160C80">
            <w:pPr>
              <w:rPr>
                <w:rFonts w:cs="Arial"/>
                <w:color w:val="000000" w:themeColor="text1"/>
                <w:szCs w:val="20"/>
              </w:rPr>
            </w:pPr>
            <w:r>
              <w:rPr>
                <w:rFonts w:cs="Arial"/>
                <w:color w:val="000000" w:themeColor="text1"/>
                <w:szCs w:val="20"/>
              </w:rPr>
              <w:t>Add ADEC and CO2 sensor: $141.17/Ton</w:t>
            </w:r>
          </w:p>
        </w:tc>
      </w:tr>
      <w:tr w:rsidR="00160C80" w:rsidRPr="00500C4E" w14:paraId="3432D116" w14:textId="77777777" w:rsidTr="00920905">
        <w:trPr>
          <w:trHeight w:val="465"/>
        </w:trPr>
        <w:tc>
          <w:tcPr>
            <w:tcW w:w="1875" w:type="pct"/>
            <w:vMerge/>
          </w:tcPr>
          <w:p w14:paraId="3CB3B700" w14:textId="456AC4BE" w:rsidR="00160C80" w:rsidRPr="00500C4E" w:rsidRDefault="00160C80">
            <w:pPr>
              <w:rPr>
                <w:rStyle w:val="Strong"/>
                <w:rFonts w:asciiTheme="minorHAnsi" w:hAnsiTheme="minorHAnsi"/>
                <w:sz w:val="20"/>
                <w:szCs w:val="20"/>
              </w:rPr>
            </w:pPr>
            <w:commentRangeStart w:id="8"/>
          </w:p>
        </w:tc>
        <w:commentRangeEnd w:id="8"/>
        <w:tc>
          <w:tcPr>
            <w:tcW w:w="3125" w:type="pct"/>
          </w:tcPr>
          <w:p w14:paraId="55804062" w14:textId="6050758A" w:rsidR="00160C80" w:rsidRPr="00FB6191" w:rsidRDefault="00160C80" w:rsidP="00AC2F5B">
            <w:pPr>
              <w:rPr>
                <w:rFonts w:cs="Arial"/>
                <w:color w:val="000000" w:themeColor="text1"/>
                <w:szCs w:val="20"/>
              </w:rPr>
            </w:pPr>
            <w:r>
              <w:rPr>
                <w:rFonts w:cs="Arial"/>
                <w:color w:val="000000" w:themeColor="text1"/>
                <w:szCs w:val="20"/>
              </w:rPr>
              <w:t>Add CO2 sensor to unit having ADEC: $64.69/Ton</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09BA0EBF" w:rsidR="00290ED8" w:rsidRPr="00FB6191" w:rsidRDefault="00896B5E" w:rsidP="00AC2F5B">
            <w:pPr>
              <w:rPr>
                <w:rFonts w:cs="Arial"/>
                <w:color w:val="000000" w:themeColor="text1"/>
                <w:szCs w:val="20"/>
              </w:rPr>
            </w:pPr>
            <w:r w:rsidRPr="00FB6191">
              <w:rPr>
                <w:rFonts w:cs="Arial"/>
                <w:color w:val="000000" w:themeColor="text1"/>
                <w:szCs w:val="20"/>
              </w:rPr>
              <w:t>N/A</w:t>
            </w:r>
          </w:p>
        </w:tc>
      </w:tr>
      <w:tr w:rsidR="00290ED8" w:rsidRPr="00500C4E" w14:paraId="466E1409" w14:textId="77777777" w:rsidTr="00920905">
        <w:trPr>
          <w:trHeight w:val="465"/>
        </w:trPr>
        <w:tc>
          <w:tcPr>
            <w:tcW w:w="1875" w:type="pct"/>
          </w:tcPr>
          <w:p w14:paraId="4F8D0A97" w14:textId="25FD4E84" w:rsidR="00290ED8" w:rsidRPr="00036D9C" w:rsidRDefault="00B4065F">
            <w:pPr>
              <w:rPr>
                <w:rStyle w:val="Strong"/>
                <w:rFonts w:asciiTheme="minorHAnsi" w:hAnsiTheme="minorHAnsi"/>
                <w:sz w:val="20"/>
                <w:szCs w:val="20"/>
              </w:rPr>
            </w:pPr>
            <w:r w:rsidRPr="00036D9C">
              <w:rPr>
                <w:rStyle w:val="Strong"/>
                <w:rFonts w:asciiTheme="minorHAnsi" w:hAnsiTheme="minorHAnsi"/>
                <w:sz w:val="20"/>
                <w:szCs w:val="20"/>
              </w:rPr>
              <w:t>Effective Useful Life</w:t>
            </w:r>
          </w:p>
        </w:tc>
        <w:tc>
          <w:tcPr>
            <w:tcW w:w="3125" w:type="pct"/>
          </w:tcPr>
          <w:p w14:paraId="70DC1712" w14:textId="4AD4A51B" w:rsidR="00290ED8" w:rsidRPr="00036D9C" w:rsidRDefault="00036D9C">
            <w:pPr>
              <w:rPr>
                <w:rFonts w:cs="Arial"/>
                <w:szCs w:val="20"/>
              </w:rPr>
            </w:pPr>
            <w:r w:rsidRPr="00036D9C">
              <w:rPr>
                <w:rFonts w:cs="Arial"/>
                <w:szCs w:val="20"/>
              </w:rPr>
              <w:t>Source: DEER 5 Years</w:t>
            </w:r>
          </w:p>
        </w:tc>
      </w:tr>
      <w:tr w:rsidR="00160C80" w:rsidRPr="00500C4E" w14:paraId="6FFAAB3B" w14:textId="77777777" w:rsidTr="00920905">
        <w:trPr>
          <w:trHeight w:val="465"/>
        </w:trPr>
        <w:tc>
          <w:tcPr>
            <w:tcW w:w="1875" w:type="pct"/>
          </w:tcPr>
          <w:p w14:paraId="080378E9" w14:textId="52D7A149" w:rsidR="00160C80" w:rsidRPr="00500C4E" w:rsidRDefault="00160C80" w:rsidP="00160C80">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7000D295" w:rsidR="00160C80" w:rsidRPr="00500C4E" w:rsidRDefault="00160C80" w:rsidP="00160C80">
            <w:pPr>
              <w:rPr>
                <w:rFonts w:cs="Arial"/>
                <w:color w:val="FF0000"/>
                <w:szCs w:val="20"/>
              </w:rPr>
            </w:pPr>
            <w:r>
              <w:rPr>
                <w:rFonts w:cs="Arial"/>
                <w:szCs w:val="20"/>
              </w:rPr>
              <w:t>Retrofit Add-On</w:t>
            </w:r>
            <w:r w:rsidRPr="00DD3825">
              <w:rPr>
                <w:rFonts w:cs="Arial"/>
                <w:szCs w:val="20"/>
              </w:rPr>
              <w:t xml:space="preserve"> (</w:t>
            </w:r>
            <w:r>
              <w:rPr>
                <w:rFonts w:cs="Arial"/>
                <w:szCs w:val="20"/>
              </w:rPr>
              <w:t>REA</w:t>
            </w:r>
            <w:r w:rsidRPr="00DD3825">
              <w:rPr>
                <w:rFonts w:cs="Arial"/>
                <w:szCs w:val="20"/>
              </w:rPr>
              <w:t>)</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037FC6BD" w:rsidR="00290ED8" w:rsidRPr="00D146FE" w:rsidRDefault="001C1338">
            <w:pPr>
              <w:rPr>
                <w:rFonts w:cs="Arial"/>
                <w:szCs w:val="20"/>
              </w:rPr>
            </w:pPr>
            <w:r w:rsidRPr="00D146FE">
              <w:rPr>
                <w:rFonts w:cs="Arial"/>
                <w:szCs w:val="20"/>
              </w:rPr>
              <w:t xml:space="preserve">0.6 (DEER NTGR ID: </w:t>
            </w:r>
            <w:r w:rsidRPr="00D146FE">
              <w:rPr>
                <w:szCs w:val="20"/>
              </w:rPr>
              <w:t>Com-Default&gt;2yrs)</w:t>
            </w:r>
          </w:p>
        </w:tc>
      </w:tr>
      <w:tr w:rsidR="00290ED8" w:rsidRPr="00500C4E" w14:paraId="7D762862" w14:textId="77777777" w:rsidTr="00F50B9D">
        <w:trPr>
          <w:trHeight w:val="102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896"/>
        <w:gridCol w:w="1182"/>
        <w:gridCol w:w="1246"/>
        <w:gridCol w:w="6252"/>
      </w:tblGrid>
      <w:tr w:rsidR="003845E5" w:rsidRPr="00500C4E" w14:paraId="5AFD7FBC" w14:textId="77777777" w:rsidTr="003D78F2">
        <w:trPr>
          <w:trHeight w:val="20"/>
        </w:trPr>
        <w:tc>
          <w:tcPr>
            <w:tcW w:w="468"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17"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598"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317"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D78F2" w:rsidRPr="00500C4E" w14:paraId="0F8D645E" w14:textId="77777777" w:rsidTr="003D78F2">
        <w:trPr>
          <w:trHeight w:val="20"/>
        </w:trPr>
        <w:tc>
          <w:tcPr>
            <w:tcW w:w="468" w:type="pct"/>
          </w:tcPr>
          <w:p w14:paraId="4A1A2996" w14:textId="53B3CA75" w:rsidR="003D78F2" w:rsidRPr="00BD44A5" w:rsidRDefault="003D78F2" w:rsidP="003D78F2">
            <w:pPr>
              <w:rPr>
                <w:rFonts w:cstheme="minorHAnsi"/>
                <w:color w:val="FF0000"/>
                <w:szCs w:val="20"/>
              </w:rPr>
            </w:pPr>
            <w:r w:rsidRPr="00BD44A5">
              <w:rPr>
                <w:bCs/>
              </w:rPr>
              <w:t>Revision 0</w:t>
            </w:r>
          </w:p>
        </w:tc>
        <w:tc>
          <w:tcPr>
            <w:tcW w:w="617" w:type="pct"/>
          </w:tcPr>
          <w:p w14:paraId="68BA349C" w14:textId="25E0A8C4" w:rsidR="003D78F2" w:rsidRPr="00BD44A5" w:rsidRDefault="003D78F2" w:rsidP="003D78F2">
            <w:pPr>
              <w:rPr>
                <w:rFonts w:cstheme="minorHAnsi"/>
                <w:color w:val="FF0000"/>
                <w:szCs w:val="20"/>
              </w:rPr>
            </w:pPr>
            <w:r w:rsidRPr="00BD44A5">
              <w:rPr>
                <w:bCs/>
                <w:szCs w:val="20"/>
              </w:rPr>
              <w:t>04/09/2014</w:t>
            </w:r>
          </w:p>
        </w:tc>
        <w:tc>
          <w:tcPr>
            <w:tcW w:w="598" w:type="pct"/>
          </w:tcPr>
          <w:p w14:paraId="4A812BB3" w14:textId="41D4602C" w:rsidR="003D78F2" w:rsidRPr="00BD44A5" w:rsidRDefault="003D78F2" w:rsidP="003D78F2">
            <w:pPr>
              <w:rPr>
                <w:rFonts w:cstheme="minorHAnsi"/>
                <w:color w:val="FF0000"/>
                <w:szCs w:val="20"/>
              </w:rPr>
            </w:pPr>
            <w:r w:rsidRPr="00BD44A5">
              <w:rPr>
                <w:bCs/>
                <w:szCs w:val="20"/>
              </w:rPr>
              <w:t>Sherry Hu (PG&amp;E); Benjamin Lipscomb (PECI)</w:t>
            </w:r>
          </w:p>
        </w:tc>
        <w:tc>
          <w:tcPr>
            <w:tcW w:w="3317" w:type="pct"/>
          </w:tcPr>
          <w:p w14:paraId="7B499AC8" w14:textId="0B7A46F6" w:rsidR="003D78F2" w:rsidRDefault="003D78F2" w:rsidP="003D78F2">
            <w:pPr>
              <w:rPr>
                <w:rFonts w:cstheme="minorHAnsi"/>
                <w:bCs/>
                <w:szCs w:val="20"/>
              </w:rPr>
            </w:pPr>
            <w:r w:rsidRPr="00DA4FCD">
              <w:rPr>
                <w:rFonts w:cstheme="minorHAnsi"/>
                <w:szCs w:val="20"/>
              </w:rPr>
              <w:t xml:space="preserve"> </w:t>
            </w:r>
            <w:r w:rsidRPr="00DA4FCD">
              <w:rPr>
                <w:rFonts w:cstheme="minorHAnsi"/>
                <w:bCs/>
                <w:szCs w:val="20"/>
              </w:rPr>
              <w:t>Demand Controlled Ventilation</w:t>
            </w:r>
          </w:p>
          <w:p w14:paraId="51C3DF52" w14:textId="77777777" w:rsidR="003D78F2" w:rsidRDefault="003D78F2" w:rsidP="003D78F2">
            <w:pPr>
              <w:rPr>
                <w:rFonts w:cstheme="minorHAnsi"/>
                <w:bCs/>
                <w:szCs w:val="20"/>
              </w:rPr>
            </w:pPr>
            <w:r w:rsidRPr="00BC42E5">
              <w:rPr>
                <w:rFonts w:cstheme="minorHAnsi"/>
                <w:bCs/>
                <w:szCs w:val="20"/>
              </w:rPr>
              <w:t>PGECOHVC1</w:t>
            </w:r>
            <w:r>
              <w:rPr>
                <w:rFonts w:cstheme="minorHAnsi"/>
                <w:bCs/>
                <w:szCs w:val="20"/>
              </w:rPr>
              <w:t>68</w:t>
            </w:r>
            <w:r w:rsidRPr="00BC42E5">
              <w:rPr>
                <w:rFonts w:cstheme="minorHAnsi"/>
                <w:bCs/>
                <w:szCs w:val="20"/>
              </w:rPr>
              <w:t xml:space="preserve"> R</w:t>
            </w:r>
            <w:r>
              <w:rPr>
                <w:rFonts w:cstheme="minorHAnsi"/>
                <w:bCs/>
                <w:szCs w:val="20"/>
              </w:rPr>
              <w:t>0</w:t>
            </w:r>
            <w:r w:rsidRPr="00BC42E5">
              <w:rPr>
                <w:rFonts w:cstheme="minorHAnsi"/>
                <w:bCs/>
                <w:szCs w:val="20"/>
              </w:rPr>
              <w:t>.doc</w:t>
            </w:r>
          </w:p>
          <w:p w14:paraId="34F0A8ED" w14:textId="625B1F95" w:rsidR="003D78F2" w:rsidRPr="00BD44A5" w:rsidRDefault="003D78F2" w:rsidP="003D78F2">
            <w:r>
              <w:rPr>
                <w:rFonts w:cstheme="minorHAnsi"/>
                <w:bCs/>
                <w:szCs w:val="20"/>
              </w:rPr>
              <w:t>Original workpaper</w:t>
            </w:r>
          </w:p>
        </w:tc>
      </w:tr>
      <w:tr w:rsidR="003D78F2" w:rsidRPr="00500C4E" w14:paraId="62DC1728" w14:textId="77777777" w:rsidTr="003D78F2">
        <w:trPr>
          <w:trHeight w:val="20"/>
        </w:trPr>
        <w:tc>
          <w:tcPr>
            <w:tcW w:w="468" w:type="pct"/>
          </w:tcPr>
          <w:p w14:paraId="3E501C93" w14:textId="4C42870F" w:rsidR="003D78F2" w:rsidRPr="00500C4E" w:rsidRDefault="003D78F2" w:rsidP="003D78F2">
            <w:pPr>
              <w:rPr>
                <w:rFonts w:cstheme="minorHAnsi"/>
                <w:szCs w:val="20"/>
              </w:rPr>
            </w:pPr>
            <w:r>
              <w:rPr>
                <w:rFonts w:cstheme="minorHAnsi"/>
                <w:szCs w:val="20"/>
              </w:rPr>
              <w:t>Revision 1</w:t>
            </w:r>
          </w:p>
        </w:tc>
        <w:tc>
          <w:tcPr>
            <w:tcW w:w="617" w:type="pct"/>
          </w:tcPr>
          <w:p w14:paraId="2265169C" w14:textId="5D58F105" w:rsidR="003D78F2" w:rsidRPr="00500C4E" w:rsidRDefault="003D78F2" w:rsidP="003D78F2">
            <w:pPr>
              <w:rPr>
                <w:rFonts w:cstheme="minorHAnsi"/>
                <w:szCs w:val="20"/>
              </w:rPr>
            </w:pPr>
            <w:r>
              <w:rPr>
                <w:rFonts w:cstheme="minorHAnsi"/>
                <w:szCs w:val="20"/>
              </w:rPr>
              <w:t>03/01/2016</w:t>
            </w:r>
          </w:p>
        </w:tc>
        <w:tc>
          <w:tcPr>
            <w:tcW w:w="598" w:type="pct"/>
          </w:tcPr>
          <w:p w14:paraId="1B212508" w14:textId="258EEC98" w:rsidR="003D78F2" w:rsidRPr="00500C4E" w:rsidRDefault="003D78F2" w:rsidP="003D78F2">
            <w:pPr>
              <w:rPr>
                <w:rFonts w:cstheme="minorHAnsi"/>
                <w:szCs w:val="20"/>
              </w:rPr>
            </w:pPr>
            <w:r>
              <w:rPr>
                <w:rFonts w:cstheme="minorHAnsi"/>
                <w:szCs w:val="20"/>
              </w:rPr>
              <w:t>Sherry Hu (PG&amp;E)</w:t>
            </w:r>
          </w:p>
        </w:tc>
        <w:tc>
          <w:tcPr>
            <w:tcW w:w="3317" w:type="pct"/>
          </w:tcPr>
          <w:p w14:paraId="61966CE2" w14:textId="407D38E5" w:rsidR="003D78F2" w:rsidRPr="00500C4E" w:rsidRDefault="003D78F2" w:rsidP="003D78F2">
            <w:pPr>
              <w:rPr>
                <w:rFonts w:cstheme="minorHAnsi"/>
                <w:bCs/>
                <w:szCs w:val="20"/>
              </w:rPr>
            </w:pPr>
            <w:r>
              <w:rPr>
                <w:rFonts w:cstheme="minorHAnsi"/>
                <w:bCs/>
                <w:szCs w:val="20"/>
              </w:rPr>
              <w:t>Ex Ante Data Spreadsheet formatting update.</w:t>
            </w:r>
          </w:p>
        </w:tc>
      </w:tr>
      <w:tr w:rsidR="003D78F2" w:rsidRPr="00500C4E" w14:paraId="11BE757E" w14:textId="77777777" w:rsidTr="003D78F2">
        <w:trPr>
          <w:trHeight w:val="20"/>
        </w:trPr>
        <w:tc>
          <w:tcPr>
            <w:tcW w:w="468" w:type="pct"/>
          </w:tcPr>
          <w:p w14:paraId="46C6E1B2" w14:textId="70DB16DF" w:rsidR="003D78F2" w:rsidRDefault="003D78F2" w:rsidP="003D78F2">
            <w:pPr>
              <w:rPr>
                <w:rFonts w:cstheme="minorHAnsi"/>
                <w:szCs w:val="20"/>
              </w:rPr>
            </w:pPr>
            <w:r>
              <w:rPr>
                <w:rFonts w:cstheme="minorHAnsi"/>
                <w:szCs w:val="20"/>
              </w:rPr>
              <w:t>Revision 2</w:t>
            </w:r>
          </w:p>
        </w:tc>
        <w:tc>
          <w:tcPr>
            <w:tcW w:w="617" w:type="pct"/>
          </w:tcPr>
          <w:p w14:paraId="56CD37D0" w14:textId="5CD29865" w:rsidR="003D78F2" w:rsidRDefault="00ED7D79" w:rsidP="003D78F2">
            <w:pPr>
              <w:rPr>
                <w:rFonts w:cstheme="minorHAnsi"/>
                <w:szCs w:val="20"/>
              </w:rPr>
            </w:pPr>
            <w:r>
              <w:rPr>
                <w:rFonts w:cstheme="minorHAnsi"/>
                <w:szCs w:val="20"/>
              </w:rPr>
              <w:t>12/3/2019</w:t>
            </w:r>
          </w:p>
        </w:tc>
        <w:tc>
          <w:tcPr>
            <w:tcW w:w="598" w:type="pct"/>
          </w:tcPr>
          <w:p w14:paraId="19E311B6" w14:textId="7F903501" w:rsidR="003D78F2" w:rsidRDefault="003D78F2" w:rsidP="003D78F2">
            <w:pPr>
              <w:rPr>
                <w:rFonts w:cstheme="minorHAnsi"/>
                <w:szCs w:val="20"/>
              </w:rPr>
            </w:pPr>
            <w:r>
              <w:rPr>
                <w:rFonts w:cstheme="minorHAnsi"/>
                <w:szCs w:val="20"/>
              </w:rPr>
              <w:t>Tai Voong (PG&amp;E); Phil Jordan (CLEAResult)</w:t>
            </w:r>
          </w:p>
        </w:tc>
        <w:tc>
          <w:tcPr>
            <w:tcW w:w="3317" w:type="pct"/>
          </w:tcPr>
          <w:p w14:paraId="6EB61828" w14:textId="77777777" w:rsidR="003D78F2" w:rsidRDefault="009B1EBF" w:rsidP="009B1EBF">
            <w:pPr>
              <w:pStyle w:val="ListParagraph"/>
              <w:numPr>
                <w:ilvl w:val="0"/>
                <w:numId w:val="40"/>
              </w:numPr>
              <w:ind w:left="501"/>
              <w:rPr>
                <w:rFonts w:cstheme="minorHAnsi"/>
                <w:bCs/>
                <w:szCs w:val="20"/>
              </w:rPr>
            </w:pPr>
            <w:r>
              <w:rPr>
                <w:rFonts w:cstheme="minorHAnsi"/>
                <w:bCs/>
                <w:szCs w:val="20"/>
              </w:rPr>
              <w:t>Updated savings estimates using DEER prototype updates released with DEER2015 and DEER2017</w:t>
            </w:r>
          </w:p>
          <w:p w14:paraId="7278F539" w14:textId="77777777" w:rsidR="009B1EBF" w:rsidRDefault="009B1EBF" w:rsidP="009B1EBF">
            <w:pPr>
              <w:pStyle w:val="ListParagraph"/>
              <w:numPr>
                <w:ilvl w:val="0"/>
                <w:numId w:val="40"/>
              </w:numPr>
              <w:ind w:left="501"/>
              <w:rPr>
                <w:rFonts w:cstheme="minorHAnsi"/>
                <w:bCs/>
                <w:szCs w:val="20"/>
              </w:rPr>
            </w:pPr>
            <w:r>
              <w:rPr>
                <w:rFonts w:cstheme="minorHAnsi"/>
                <w:bCs/>
                <w:szCs w:val="20"/>
              </w:rPr>
              <w:t>Measure cost analysis was updated to use current information for ADEC pricing</w:t>
            </w:r>
          </w:p>
          <w:p w14:paraId="737F089A" w14:textId="63A37294" w:rsidR="009B1EBF" w:rsidRDefault="009B1EBF" w:rsidP="009B1EBF">
            <w:pPr>
              <w:pStyle w:val="ListParagraph"/>
              <w:numPr>
                <w:ilvl w:val="0"/>
                <w:numId w:val="40"/>
              </w:numPr>
              <w:ind w:left="501"/>
              <w:rPr>
                <w:rFonts w:cstheme="minorHAnsi"/>
                <w:bCs/>
                <w:szCs w:val="20"/>
              </w:rPr>
            </w:pPr>
            <w:r>
              <w:rPr>
                <w:rFonts w:cstheme="minorHAnsi"/>
                <w:bCs/>
                <w:szCs w:val="20"/>
              </w:rPr>
              <w:t xml:space="preserve">Work paper content was updated according to Resolution E-4818 </w:t>
            </w:r>
            <w:r w:rsidR="00E23579">
              <w:rPr>
                <w:rFonts w:cstheme="minorHAnsi"/>
                <w:bCs/>
                <w:szCs w:val="20"/>
              </w:rPr>
              <w:t>existing conditions</w:t>
            </w:r>
          </w:p>
          <w:p w14:paraId="372B4337" w14:textId="1325253D" w:rsidR="009B1EBF" w:rsidRPr="009B1EBF" w:rsidRDefault="009B1EBF" w:rsidP="00FB6191">
            <w:pPr>
              <w:pStyle w:val="ListParagraph"/>
              <w:numPr>
                <w:ilvl w:val="0"/>
                <w:numId w:val="40"/>
              </w:numPr>
              <w:ind w:left="501"/>
              <w:rPr>
                <w:rFonts w:cstheme="minorHAnsi"/>
                <w:bCs/>
                <w:szCs w:val="20"/>
              </w:rPr>
            </w:pPr>
            <w:r>
              <w:rPr>
                <w:rFonts w:cstheme="minorHAnsi"/>
                <w:bCs/>
                <w:szCs w:val="20"/>
              </w:rPr>
              <w:t>Work paper format was updated to match latest template</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E0167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E0167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0B4074DF" w:rsidR="008877AF" w:rsidRPr="00BD44A5" w:rsidRDefault="008877AF" w:rsidP="00E01679">
            <w:pPr>
              <w:rPr>
                <w:bCs/>
              </w:rPr>
            </w:pPr>
          </w:p>
        </w:tc>
        <w:tc>
          <w:tcPr>
            <w:tcW w:w="351" w:type="pct"/>
          </w:tcPr>
          <w:p w14:paraId="23988046" w14:textId="700858B8" w:rsidR="008877AF" w:rsidRPr="00BD44A5" w:rsidRDefault="008877AF" w:rsidP="00E01679">
            <w:pPr>
              <w:rPr>
                <w:bCs/>
                <w:szCs w:val="20"/>
              </w:rPr>
            </w:pPr>
          </w:p>
        </w:tc>
        <w:tc>
          <w:tcPr>
            <w:tcW w:w="548" w:type="pct"/>
          </w:tcPr>
          <w:p w14:paraId="4AB37DB0" w14:textId="0C3889BA" w:rsidR="008877AF" w:rsidRPr="00BD44A5" w:rsidRDefault="008877AF" w:rsidP="00E01679">
            <w:pPr>
              <w:rPr>
                <w:bCs/>
                <w:szCs w:val="20"/>
              </w:rPr>
            </w:pPr>
          </w:p>
        </w:tc>
        <w:tc>
          <w:tcPr>
            <w:tcW w:w="552" w:type="pct"/>
          </w:tcPr>
          <w:p w14:paraId="62E998F6" w14:textId="169C7B72" w:rsidR="008877AF" w:rsidRPr="00BD44A5" w:rsidRDefault="008877AF" w:rsidP="00E01679">
            <w:pPr>
              <w:rPr>
                <w:bCs/>
                <w:szCs w:val="20"/>
              </w:rPr>
            </w:pPr>
          </w:p>
        </w:tc>
        <w:tc>
          <w:tcPr>
            <w:tcW w:w="1634" w:type="pct"/>
          </w:tcPr>
          <w:p w14:paraId="369DEEE8" w14:textId="5F2B2E4F" w:rsidR="008877AF" w:rsidRPr="00BD44A5" w:rsidRDefault="008877AF" w:rsidP="00BD44A5">
            <w:pPr>
              <w:pStyle w:val="ListParagraph"/>
              <w:numPr>
                <w:ilvl w:val="0"/>
                <w:numId w:val="35"/>
              </w:numPr>
              <w:rPr>
                <w:bCs/>
                <w:szCs w:val="20"/>
              </w:rPr>
            </w:pPr>
          </w:p>
        </w:tc>
        <w:tc>
          <w:tcPr>
            <w:tcW w:w="1634" w:type="pct"/>
          </w:tcPr>
          <w:p w14:paraId="1ECCFDB6" w14:textId="50FB990B" w:rsidR="008877AF" w:rsidRPr="00BD44A5" w:rsidRDefault="008877AF" w:rsidP="00BD44A5">
            <w:pPr>
              <w:pStyle w:val="ListParagraph"/>
              <w:numPr>
                <w:ilvl w:val="0"/>
                <w:numId w:val="35"/>
              </w:numPr>
              <w:rPr>
                <w:bCs/>
                <w:szCs w:val="20"/>
              </w:rPr>
            </w:pPr>
          </w:p>
        </w:tc>
      </w:tr>
      <w:tr w:rsidR="008877AF" w:rsidRPr="00500C4E" w14:paraId="69D073CD" w14:textId="392DFDA5" w:rsidTr="00BA5FE4">
        <w:trPr>
          <w:trHeight w:val="20"/>
        </w:trPr>
        <w:tc>
          <w:tcPr>
            <w:tcW w:w="280" w:type="pct"/>
          </w:tcPr>
          <w:p w14:paraId="19E0D6ED" w14:textId="7BBE719A" w:rsidR="008877AF" w:rsidRPr="00BD44A5" w:rsidRDefault="008877AF" w:rsidP="00E01679"/>
        </w:tc>
        <w:tc>
          <w:tcPr>
            <w:tcW w:w="351" w:type="pct"/>
          </w:tcPr>
          <w:p w14:paraId="71879172" w14:textId="0CC4FA2E" w:rsidR="008877AF" w:rsidRPr="00BD44A5" w:rsidRDefault="008877AF" w:rsidP="00E01679">
            <w:pPr>
              <w:autoSpaceDE w:val="0"/>
              <w:autoSpaceDN w:val="0"/>
              <w:adjustRightInd w:val="0"/>
              <w:rPr>
                <w:szCs w:val="20"/>
              </w:rPr>
            </w:pPr>
          </w:p>
        </w:tc>
        <w:tc>
          <w:tcPr>
            <w:tcW w:w="548" w:type="pct"/>
          </w:tcPr>
          <w:p w14:paraId="61A20ED3" w14:textId="28CAF27A" w:rsidR="008877AF" w:rsidRPr="00BD44A5" w:rsidRDefault="008877AF" w:rsidP="00E01679">
            <w:pPr>
              <w:autoSpaceDE w:val="0"/>
              <w:autoSpaceDN w:val="0"/>
              <w:adjustRightInd w:val="0"/>
              <w:rPr>
                <w:szCs w:val="20"/>
              </w:rPr>
            </w:pPr>
          </w:p>
        </w:tc>
        <w:tc>
          <w:tcPr>
            <w:tcW w:w="552" w:type="pct"/>
          </w:tcPr>
          <w:p w14:paraId="211F8E7E" w14:textId="43FF00B5" w:rsidR="008877AF" w:rsidRPr="00BD44A5" w:rsidRDefault="008877AF" w:rsidP="00E01679">
            <w:pPr>
              <w:rPr>
                <w:szCs w:val="20"/>
              </w:rPr>
            </w:pPr>
          </w:p>
        </w:tc>
        <w:tc>
          <w:tcPr>
            <w:tcW w:w="1634" w:type="pct"/>
          </w:tcPr>
          <w:p w14:paraId="52AA4972" w14:textId="4AB60588" w:rsidR="008877AF" w:rsidRPr="00BD44A5" w:rsidRDefault="008877AF" w:rsidP="00BD44A5">
            <w:pPr>
              <w:pStyle w:val="ListParagraph"/>
              <w:numPr>
                <w:ilvl w:val="0"/>
                <w:numId w:val="35"/>
              </w:numPr>
              <w:rPr>
                <w:bCs/>
                <w:szCs w:val="20"/>
              </w:rPr>
            </w:pPr>
          </w:p>
        </w:tc>
        <w:tc>
          <w:tcPr>
            <w:tcW w:w="1634" w:type="pct"/>
          </w:tcPr>
          <w:p w14:paraId="34686434" w14:textId="42D04363" w:rsidR="008877AF" w:rsidRPr="00BD44A5" w:rsidRDefault="008877AF" w:rsidP="00BD44A5">
            <w:pPr>
              <w:pStyle w:val="ListParagraph"/>
              <w:numPr>
                <w:ilvl w:val="0"/>
                <w:numId w:val="35"/>
              </w:numPr>
              <w:rPr>
                <w:bCs/>
                <w:szCs w:val="20"/>
              </w:rPr>
            </w:pPr>
          </w:p>
        </w:tc>
      </w:tr>
      <w:tr w:rsidR="008877AF" w:rsidRPr="00500C4E" w14:paraId="3150CD9E" w14:textId="23D900C0" w:rsidTr="00BA5FE4">
        <w:trPr>
          <w:trHeight w:val="20"/>
        </w:trPr>
        <w:tc>
          <w:tcPr>
            <w:tcW w:w="280" w:type="pct"/>
          </w:tcPr>
          <w:p w14:paraId="20476F36" w14:textId="7C427F22" w:rsidR="008877AF" w:rsidRPr="00BD44A5" w:rsidRDefault="008877AF" w:rsidP="00E01679"/>
        </w:tc>
        <w:tc>
          <w:tcPr>
            <w:tcW w:w="351" w:type="pct"/>
          </w:tcPr>
          <w:p w14:paraId="6F821B8B" w14:textId="77777777" w:rsidR="008877AF" w:rsidRPr="00BD44A5" w:rsidRDefault="008877AF" w:rsidP="00E01679">
            <w:pPr>
              <w:autoSpaceDE w:val="0"/>
              <w:autoSpaceDN w:val="0"/>
              <w:adjustRightInd w:val="0"/>
              <w:rPr>
                <w:szCs w:val="20"/>
              </w:rPr>
            </w:pPr>
          </w:p>
        </w:tc>
        <w:tc>
          <w:tcPr>
            <w:tcW w:w="548" w:type="pct"/>
          </w:tcPr>
          <w:p w14:paraId="6D6794C9" w14:textId="77777777" w:rsidR="008877AF" w:rsidRPr="00BD44A5" w:rsidRDefault="008877AF" w:rsidP="00E01679">
            <w:pPr>
              <w:autoSpaceDE w:val="0"/>
              <w:autoSpaceDN w:val="0"/>
              <w:adjustRightInd w:val="0"/>
              <w:rPr>
                <w:szCs w:val="20"/>
              </w:rPr>
            </w:pPr>
          </w:p>
        </w:tc>
        <w:tc>
          <w:tcPr>
            <w:tcW w:w="552" w:type="pct"/>
          </w:tcPr>
          <w:p w14:paraId="39C3D570" w14:textId="77777777" w:rsidR="008877AF" w:rsidRPr="00BD44A5" w:rsidRDefault="008877AF" w:rsidP="00E01679">
            <w:pPr>
              <w:rPr>
                <w:szCs w:val="20"/>
              </w:rPr>
            </w:pPr>
          </w:p>
        </w:tc>
        <w:tc>
          <w:tcPr>
            <w:tcW w:w="1634" w:type="pct"/>
          </w:tcPr>
          <w:p w14:paraId="28DFEB40" w14:textId="77777777" w:rsidR="008877AF" w:rsidRPr="00BD44A5" w:rsidRDefault="008877AF" w:rsidP="00E01679">
            <w:pPr>
              <w:rPr>
                <w:bCs/>
                <w:szCs w:val="20"/>
              </w:rPr>
            </w:pPr>
          </w:p>
        </w:tc>
        <w:tc>
          <w:tcPr>
            <w:tcW w:w="1634" w:type="pct"/>
          </w:tcPr>
          <w:p w14:paraId="56FE81C4" w14:textId="77777777" w:rsidR="008877AF" w:rsidRPr="00BD44A5" w:rsidRDefault="008877AF" w:rsidP="00E0167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3" w:history="1">
        <w:r w:rsidR="008877AF" w:rsidRPr="007911DF">
          <w:rPr>
            <w:rStyle w:val="Hyperlink"/>
            <w:sz w:val="20"/>
            <w:szCs w:val="20"/>
          </w:rPr>
          <w:t>http://www.caltf.org/</w:t>
        </w:r>
      </w:hyperlink>
      <w:r w:rsidR="008877AF">
        <w:rPr>
          <w:sz w:val="20"/>
          <w:szCs w:val="20"/>
        </w:rPr>
        <w:t xml:space="preserve"> </w:t>
      </w:r>
    </w:p>
    <w:p w14:paraId="0A689F00" w14:textId="7967A6EF"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9"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9"/>
    </w:p>
    <w:p w14:paraId="07845339" w14:textId="35480B6F" w:rsidR="001D3223" w:rsidRDefault="001D3223" w:rsidP="001D3223">
      <w:pPr>
        <w:pStyle w:val="Reminders"/>
        <w:tabs>
          <w:tab w:val="num" w:pos="360"/>
        </w:tabs>
        <w:rPr>
          <w:rFonts w:asciiTheme="minorHAnsi" w:hAnsiTheme="minorHAnsi" w:cstheme="minorHAnsi"/>
          <w:i w:val="0"/>
          <w:szCs w:val="22"/>
        </w:rPr>
      </w:pPr>
    </w:p>
    <w:p w14:paraId="7C97D648" w14:textId="77777777" w:rsidR="00F50B9D" w:rsidRPr="00F50B9D" w:rsidRDefault="00F50B9D" w:rsidP="00F50B9D">
      <w:pPr>
        <w:rPr>
          <w:rFonts w:cstheme="minorHAnsi"/>
          <w:b/>
          <w:i/>
          <w:sz w:val="20"/>
          <w:szCs w:val="20"/>
        </w:rPr>
      </w:pPr>
      <w:r w:rsidRPr="00F50B9D">
        <w:rPr>
          <w:rFonts w:cstheme="minorHAnsi"/>
          <w:b/>
          <w:i/>
        </w:rPr>
        <w:t xml:space="preserve">Catalog Description – </w:t>
      </w:r>
    </w:p>
    <w:p w14:paraId="3B05DC8B" w14:textId="39496275" w:rsidR="00F50B9D" w:rsidRDefault="00F50B9D" w:rsidP="00F50B9D">
      <w:pPr>
        <w:rPr>
          <w:rFonts w:cstheme="minorHAnsi"/>
        </w:rPr>
      </w:pPr>
      <w:r w:rsidRPr="00F50B9D">
        <w:rPr>
          <w:rFonts w:cstheme="minorHAnsi"/>
        </w:rPr>
        <w:t>Add Demand Controlled Ventilation (DCV) to an existing packaged single zone direct expansion (DX) HVAC unit with an economizer. The specific DCV application uses a carbon dioxide (CO2) sensor to inform economizer outside air damper position. HV026, HV028, and HV030 are for adding an Advanced Digital Economizer Controller (ADEC) with DCV capability as well as a CO2 sensor. HV027, HV029, and HV031 are for adding a CO2 sensor only assuming a DCV-enabling digital controller is already installed. The three measure codes for each case distinguish between cooling units with gas heat, cooling only units, and heat pumps, respectively. The ADEC must have the capability to control the damper in response to a CO2 sensor signal.</w:t>
      </w:r>
    </w:p>
    <w:p w14:paraId="4F52FE24" w14:textId="77777777" w:rsidR="00F50B9D" w:rsidRPr="00F50B9D" w:rsidRDefault="00F50B9D" w:rsidP="00F50B9D">
      <w:pPr>
        <w:rPr>
          <w:rFonts w:cstheme="minorHAnsi"/>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F50B9D"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66460B16"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r w:rsidR="0040032F">
              <w:rPr>
                <w:rFonts w:asciiTheme="minorHAnsi" w:hAnsiTheme="minorHAnsi" w:cs="Arial"/>
                <w:i w:val="0"/>
                <w:color w:val="auto"/>
                <w:szCs w:val="20"/>
              </w:rPr>
              <w:t>s</w:t>
            </w:r>
          </w:p>
        </w:tc>
        <w:tc>
          <w:tcPr>
            <w:tcW w:w="3498" w:type="pct"/>
          </w:tcPr>
          <w:p w14:paraId="1D2CDD14" w14:textId="55783F28" w:rsidR="00D85F09" w:rsidRPr="00F466C7" w:rsidRDefault="00083113" w:rsidP="00083113">
            <w:pPr>
              <w:rPr>
                <w:szCs w:val="20"/>
              </w:rPr>
            </w:pPr>
            <w:r w:rsidRPr="00F466C7">
              <w:rPr>
                <w:szCs w:val="20"/>
              </w:rPr>
              <w:t xml:space="preserve">1) </w:t>
            </w:r>
            <w:r w:rsidR="0040032F" w:rsidRPr="00F466C7">
              <w:rPr>
                <w:szCs w:val="20"/>
              </w:rPr>
              <w:t>Add ADEC and CO2 Sensor to AC with Gas Heat, AC-only, or HP unit.</w:t>
            </w:r>
          </w:p>
          <w:p w14:paraId="5BFB3C97" w14:textId="0429C680" w:rsidR="0040032F" w:rsidRPr="00F466C7" w:rsidRDefault="00083113" w:rsidP="0040032F">
            <w:pPr>
              <w:rPr>
                <w:szCs w:val="20"/>
              </w:rPr>
            </w:pPr>
            <w:r w:rsidRPr="00F466C7">
              <w:rPr>
                <w:szCs w:val="20"/>
              </w:rPr>
              <w:t xml:space="preserve">2) </w:t>
            </w:r>
            <w:r w:rsidR="0040032F" w:rsidRPr="00F466C7">
              <w:rPr>
                <w:szCs w:val="20"/>
              </w:rPr>
              <w:t>Add CO2 Sensor to AC with Gas Heat, AC-only, or HP unit.</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0D7A794" w14:textId="7D9CF734" w:rsidR="00D85F09" w:rsidRPr="00F466C7" w:rsidRDefault="00083113" w:rsidP="00083113">
            <w:pPr>
              <w:rPr>
                <w:szCs w:val="20"/>
              </w:rPr>
            </w:pPr>
            <w:r w:rsidRPr="00F466C7">
              <w:rPr>
                <w:szCs w:val="20"/>
              </w:rPr>
              <w:t>1) AC with Gas Heat, AC-only, or HP unit without ADEC or DCV capability.</w:t>
            </w:r>
          </w:p>
          <w:p w14:paraId="7949BAEE" w14:textId="533F3116" w:rsidR="00083113" w:rsidRPr="00F466C7" w:rsidRDefault="00083113" w:rsidP="00920905">
            <w:pPr>
              <w:rPr>
                <w:szCs w:val="20"/>
              </w:rPr>
            </w:pPr>
            <w:r w:rsidRPr="00F466C7">
              <w:rPr>
                <w:szCs w:val="20"/>
              </w:rPr>
              <w:t>2) AC with Gas Heat, AC-only, or HP unit with ADEC but no DCV capability.</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6C788F2B" w:rsidR="008F2997" w:rsidRPr="00F466C7" w:rsidRDefault="008F2997">
            <w:pPr>
              <w:rPr>
                <w:szCs w:val="20"/>
              </w:rPr>
            </w:pPr>
            <w:r w:rsidRPr="00F466C7">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066BB12C" w:rsidR="00D85F09" w:rsidRPr="00F466C7" w:rsidRDefault="008F2997" w:rsidP="00920905">
            <w:pPr>
              <w:rPr>
                <w:szCs w:val="20"/>
              </w:rPr>
            </w:pPr>
            <w:r w:rsidRPr="00F466C7">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3B6BFB" w:rsidRPr="00800706" w14:paraId="0290ADBE" w14:textId="77777777" w:rsidTr="00920905">
        <w:trPr>
          <w:trHeight w:val="243"/>
        </w:trPr>
        <w:tc>
          <w:tcPr>
            <w:tcW w:w="539" w:type="pct"/>
          </w:tcPr>
          <w:p w14:paraId="1CE709CC" w14:textId="77777777" w:rsidR="003B6BFB" w:rsidRPr="00920905" w:rsidRDefault="003B6BFB" w:rsidP="003B6BFB">
            <w:pPr>
              <w:rPr>
                <w:rFonts w:cstheme="minorHAnsi"/>
                <w:color w:val="FF0000"/>
                <w:szCs w:val="20"/>
              </w:rPr>
            </w:pPr>
          </w:p>
        </w:tc>
        <w:tc>
          <w:tcPr>
            <w:tcW w:w="539" w:type="pct"/>
          </w:tcPr>
          <w:p w14:paraId="666F9F6A" w14:textId="77777777" w:rsidR="003B6BFB" w:rsidRPr="00920905" w:rsidRDefault="003B6BFB" w:rsidP="003B6BFB">
            <w:pPr>
              <w:rPr>
                <w:rFonts w:cstheme="minorHAnsi"/>
                <w:color w:val="FF0000"/>
                <w:szCs w:val="20"/>
              </w:rPr>
            </w:pPr>
          </w:p>
        </w:tc>
        <w:tc>
          <w:tcPr>
            <w:tcW w:w="605" w:type="pct"/>
          </w:tcPr>
          <w:p w14:paraId="63438A36" w14:textId="43C4848A" w:rsidR="003B6BFB" w:rsidRPr="00920905" w:rsidRDefault="003B6BFB" w:rsidP="003B6BFB">
            <w:pPr>
              <w:rPr>
                <w:rFonts w:cstheme="minorHAnsi"/>
                <w:color w:val="FF0000"/>
                <w:szCs w:val="20"/>
              </w:rPr>
            </w:pPr>
          </w:p>
        </w:tc>
        <w:tc>
          <w:tcPr>
            <w:tcW w:w="673" w:type="pct"/>
          </w:tcPr>
          <w:p w14:paraId="311A1841" w14:textId="08232B6A" w:rsidR="003B6BFB" w:rsidRPr="00920905" w:rsidRDefault="003B6BFB" w:rsidP="003B6BFB">
            <w:pPr>
              <w:rPr>
                <w:rFonts w:cstheme="minorHAnsi"/>
                <w:color w:val="FF0000"/>
                <w:szCs w:val="20"/>
              </w:rPr>
            </w:pPr>
            <w:r w:rsidRPr="00BB0219">
              <w:t>HV026</w:t>
            </w:r>
          </w:p>
        </w:tc>
        <w:tc>
          <w:tcPr>
            <w:tcW w:w="2644" w:type="pct"/>
          </w:tcPr>
          <w:p w14:paraId="512138E6" w14:textId="36028EB8" w:rsidR="003B6BFB" w:rsidRPr="00920905" w:rsidRDefault="003B6BFB" w:rsidP="003B6BFB">
            <w:pPr>
              <w:rPr>
                <w:color w:val="FF0000"/>
              </w:rPr>
            </w:pPr>
            <w:r w:rsidRPr="00573399">
              <w:t>Add ADEC and CO2 Sensor to AC unit with Gas Heat</w:t>
            </w:r>
          </w:p>
        </w:tc>
      </w:tr>
      <w:tr w:rsidR="003B6BFB" w:rsidRPr="00800706" w14:paraId="3EC8DDF0" w14:textId="77777777" w:rsidTr="00920905">
        <w:trPr>
          <w:trHeight w:val="243"/>
        </w:trPr>
        <w:tc>
          <w:tcPr>
            <w:tcW w:w="539" w:type="pct"/>
          </w:tcPr>
          <w:p w14:paraId="036611DE" w14:textId="77777777" w:rsidR="003B6BFB" w:rsidRPr="00350BF1" w:rsidRDefault="003B6BFB" w:rsidP="003B6BFB">
            <w:pPr>
              <w:rPr>
                <w:rFonts w:cstheme="minorHAnsi"/>
                <w:szCs w:val="20"/>
              </w:rPr>
            </w:pPr>
          </w:p>
        </w:tc>
        <w:tc>
          <w:tcPr>
            <w:tcW w:w="539" w:type="pct"/>
          </w:tcPr>
          <w:p w14:paraId="7DC81BD5" w14:textId="77777777" w:rsidR="003B6BFB" w:rsidRPr="00350BF1" w:rsidRDefault="003B6BFB" w:rsidP="003B6BFB">
            <w:pPr>
              <w:rPr>
                <w:rFonts w:cstheme="minorHAnsi"/>
                <w:szCs w:val="20"/>
              </w:rPr>
            </w:pPr>
          </w:p>
        </w:tc>
        <w:tc>
          <w:tcPr>
            <w:tcW w:w="605" w:type="pct"/>
          </w:tcPr>
          <w:p w14:paraId="00E0B555" w14:textId="77777777" w:rsidR="003B6BFB" w:rsidRPr="00350BF1" w:rsidRDefault="003B6BFB" w:rsidP="003B6BFB">
            <w:pPr>
              <w:rPr>
                <w:rFonts w:cstheme="minorHAnsi"/>
                <w:szCs w:val="20"/>
              </w:rPr>
            </w:pPr>
          </w:p>
        </w:tc>
        <w:tc>
          <w:tcPr>
            <w:tcW w:w="673" w:type="pct"/>
          </w:tcPr>
          <w:p w14:paraId="479924EB" w14:textId="48454731" w:rsidR="003B6BFB" w:rsidRPr="00350BF1" w:rsidRDefault="003B6BFB" w:rsidP="003B6BFB">
            <w:pPr>
              <w:rPr>
                <w:rFonts w:cstheme="minorHAnsi"/>
                <w:szCs w:val="20"/>
              </w:rPr>
            </w:pPr>
            <w:r w:rsidRPr="00BB0219">
              <w:t>HV027</w:t>
            </w:r>
          </w:p>
        </w:tc>
        <w:tc>
          <w:tcPr>
            <w:tcW w:w="2644" w:type="pct"/>
          </w:tcPr>
          <w:p w14:paraId="592A1733" w14:textId="1B29E709" w:rsidR="003B6BFB" w:rsidRPr="00920905" w:rsidRDefault="003B6BFB" w:rsidP="003B6BFB">
            <w:r w:rsidRPr="00573399">
              <w:t>Add CO2 Sensor to AC unit with Gas Heat with ADEC</w:t>
            </w:r>
          </w:p>
        </w:tc>
      </w:tr>
      <w:tr w:rsidR="003B6BFB" w:rsidRPr="00800706" w14:paraId="55C54C04" w14:textId="77777777" w:rsidTr="00920905">
        <w:trPr>
          <w:trHeight w:val="243"/>
        </w:trPr>
        <w:tc>
          <w:tcPr>
            <w:tcW w:w="539" w:type="pct"/>
          </w:tcPr>
          <w:p w14:paraId="20026007" w14:textId="77777777" w:rsidR="003B6BFB" w:rsidRPr="00350BF1" w:rsidRDefault="003B6BFB" w:rsidP="003B6BFB">
            <w:pPr>
              <w:rPr>
                <w:rFonts w:cstheme="minorHAnsi"/>
                <w:szCs w:val="20"/>
              </w:rPr>
            </w:pPr>
          </w:p>
        </w:tc>
        <w:tc>
          <w:tcPr>
            <w:tcW w:w="539" w:type="pct"/>
          </w:tcPr>
          <w:p w14:paraId="162AB154" w14:textId="77777777" w:rsidR="003B6BFB" w:rsidRPr="00350BF1" w:rsidRDefault="003B6BFB" w:rsidP="003B6BFB">
            <w:pPr>
              <w:rPr>
                <w:rFonts w:cstheme="minorHAnsi"/>
                <w:szCs w:val="20"/>
              </w:rPr>
            </w:pPr>
          </w:p>
        </w:tc>
        <w:tc>
          <w:tcPr>
            <w:tcW w:w="605" w:type="pct"/>
          </w:tcPr>
          <w:p w14:paraId="7EE1B39C" w14:textId="77777777" w:rsidR="003B6BFB" w:rsidRPr="00350BF1" w:rsidRDefault="003B6BFB" w:rsidP="003B6BFB">
            <w:pPr>
              <w:rPr>
                <w:rFonts w:cstheme="minorHAnsi"/>
                <w:szCs w:val="20"/>
              </w:rPr>
            </w:pPr>
          </w:p>
        </w:tc>
        <w:tc>
          <w:tcPr>
            <w:tcW w:w="673" w:type="pct"/>
          </w:tcPr>
          <w:p w14:paraId="33B46E8B" w14:textId="24C8F9CB" w:rsidR="003B6BFB" w:rsidRPr="00350BF1" w:rsidRDefault="003B6BFB" w:rsidP="003B6BFB">
            <w:pPr>
              <w:rPr>
                <w:rFonts w:cstheme="minorHAnsi"/>
                <w:szCs w:val="20"/>
              </w:rPr>
            </w:pPr>
            <w:r w:rsidRPr="00BB0219">
              <w:t>HV028</w:t>
            </w:r>
          </w:p>
        </w:tc>
        <w:tc>
          <w:tcPr>
            <w:tcW w:w="2644" w:type="pct"/>
          </w:tcPr>
          <w:p w14:paraId="2C01A28A" w14:textId="319114F8" w:rsidR="003B6BFB" w:rsidRPr="00920905" w:rsidRDefault="003B6BFB" w:rsidP="003B6BFB">
            <w:r w:rsidRPr="00573399">
              <w:t>Add ADEC and CO2 Sensor to AC only unit</w:t>
            </w:r>
          </w:p>
        </w:tc>
      </w:tr>
      <w:tr w:rsidR="003B6BFB" w:rsidRPr="00800706" w14:paraId="40B29561" w14:textId="77777777" w:rsidTr="00920905">
        <w:trPr>
          <w:trHeight w:val="243"/>
        </w:trPr>
        <w:tc>
          <w:tcPr>
            <w:tcW w:w="539" w:type="pct"/>
          </w:tcPr>
          <w:p w14:paraId="5F50FC4E" w14:textId="77777777" w:rsidR="003B6BFB" w:rsidRPr="00350BF1" w:rsidRDefault="003B6BFB" w:rsidP="003B6BFB">
            <w:pPr>
              <w:rPr>
                <w:rFonts w:cstheme="minorHAnsi"/>
                <w:szCs w:val="20"/>
              </w:rPr>
            </w:pPr>
          </w:p>
        </w:tc>
        <w:tc>
          <w:tcPr>
            <w:tcW w:w="539" w:type="pct"/>
          </w:tcPr>
          <w:p w14:paraId="40EC235D" w14:textId="77777777" w:rsidR="003B6BFB" w:rsidRPr="00350BF1" w:rsidRDefault="003B6BFB" w:rsidP="003B6BFB">
            <w:pPr>
              <w:rPr>
                <w:rFonts w:cstheme="minorHAnsi"/>
                <w:szCs w:val="20"/>
              </w:rPr>
            </w:pPr>
          </w:p>
        </w:tc>
        <w:tc>
          <w:tcPr>
            <w:tcW w:w="605" w:type="pct"/>
          </w:tcPr>
          <w:p w14:paraId="3E157742" w14:textId="77777777" w:rsidR="003B6BFB" w:rsidRPr="00350BF1" w:rsidRDefault="003B6BFB" w:rsidP="003B6BFB">
            <w:pPr>
              <w:rPr>
                <w:rFonts w:cstheme="minorHAnsi"/>
                <w:szCs w:val="20"/>
              </w:rPr>
            </w:pPr>
          </w:p>
        </w:tc>
        <w:tc>
          <w:tcPr>
            <w:tcW w:w="673" w:type="pct"/>
          </w:tcPr>
          <w:p w14:paraId="588CFBF6" w14:textId="4D23B62A" w:rsidR="003B6BFB" w:rsidRPr="00350BF1" w:rsidRDefault="003B6BFB" w:rsidP="003B6BFB">
            <w:pPr>
              <w:rPr>
                <w:rFonts w:cstheme="minorHAnsi"/>
                <w:szCs w:val="20"/>
              </w:rPr>
            </w:pPr>
            <w:r w:rsidRPr="00BB0219">
              <w:t>HV029</w:t>
            </w:r>
          </w:p>
        </w:tc>
        <w:tc>
          <w:tcPr>
            <w:tcW w:w="2644" w:type="pct"/>
          </w:tcPr>
          <w:p w14:paraId="33AAF62B" w14:textId="25DE39A0" w:rsidR="003B6BFB" w:rsidRPr="00920905" w:rsidRDefault="003B6BFB" w:rsidP="003B6BFB">
            <w:r w:rsidRPr="00573399">
              <w:t>Add CO2 Sensor to AC only unit with ADEC</w:t>
            </w:r>
          </w:p>
        </w:tc>
      </w:tr>
      <w:tr w:rsidR="003B6BFB" w:rsidRPr="00800706" w14:paraId="0C7652AF" w14:textId="77777777" w:rsidTr="00920905">
        <w:trPr>
          <w:trHeight w:val="243"/>
        </w:trPr>
        <w:tc>
          <w:tcPr>
            <w:tcW w:w="539" w:type="pct"/>
          </w:tcPr>
          <w:p w14:paraId="5F8D2B3E" w14:textId="77777777" w:rsidR="003B6BFB" w:rsidRPr="00350BF1" w:rsidRDefault="003B6BFB" w:rsidP="003B6BFB">
            <w:pPr>
              <w:rPr>
                <w:rFonts w:cstheme="minorHAnsi"/>
                <w:szCs w:val="20"/>
              </w:rPr>
            </w:pPr>
          </w:p>
        </w:tc>
        <w:tc>
          <w:tcPr>
            <w:tcW w:w="539" w:type="pct"/>
          </w:tcPr>
          <w:p w14:paraId="45C0E096" w14:textId="77777777" w:rsidR="003B6BFB" w:rsidRPr="00350BF1" w:rsidRDefault="003B6BFB" w:rsidP="003B6BFB">
            <w:pPr>
              <w:rPr>
                <w:rFonts w:cstheme="minorHAnsi"/>
                <w:szCs w:val="20"/>
              </w:rPr>
            </w:pPr>
          </w:p>
        </w:tc>
        <w:tc>
          <w:tcPr>
            <w:tcW w:w="605" w:type="pct"/>
          </w:tcPr>
          <w:p w14:paraId="1374A606" w14:textId="77777777" w:rsidR="003B6BFB" w:rsidRPr="00350BF1" w:rsidRDefault="003B6BFB" w:rsidP="003B6BFB">
            <w:pPr>
              <w:rPr>
                <w:rFonts w:cstheme="minorHAnsi"/>
                <w:szCs w:val="20"/>
              </w:rPr>
            </w:pPr>
          </w:p>
        </w:tc>
        <w:tc>
          <w:tcPr>
            <w:tcW w:w="673" w:type="pct"/>
          </w:tcPr>
          <w:p w14:paraId="7D11EB40" w14:textId="6E1045CB" w:rsidR="003B6BFB" w:rsidRPr="00350BF1" w:rsidRDefault="003B6BFB" w:rsidP="003B6BFB">
            <w:pPr>
              <w:rPr>
                <w:rFonts w:cstheme="minorHAnsi"/>
                <w:szCs w:val="20"/>
              </w:rPr>
            </w:pPr>
            <w:r w:rsidRPr="00BB0219">
              <w:t>HV030</w:t>
            </w:r>
          </w:p>
        </w:tc>
        <w:tc>
          <w:tcPr>
            <w:tcW w:w="2644" w:type="pct"/>
          </w:tcPr>
          <w:p w14:paraId="337AE37F" w14:textId="59556632" w:rsidR="003B6BFB" w:rsidRPr="00920905" w:rsidRDefault="003B6BFB" w:rsidP="003B6BFB">
            <w:r w:rsidRPr="00573399">
              <w:t>Add ADEC and CO2 Sensor to HP</w:t>
            </w:r>
          </w:p>
        </w:tc>
      </w:tr>
      <w:tr w:rsidR="003B6BFB" w:rsidRPr="00800706" w14:paraId="77E7596E" w14:textId="77777777" w:rsidTr="00920905">
        <w:trPr>
          <w:trHeight w:val="243"/>
        </w:trPr>
        <w:tc>
          <w:tcPr>
            <w:tcW w:w="539" w:type="pct"/>
          </w:tcPr>
          <w:p w14:paraId="1ABFE2B1" w14:textId="77777777" w:rsidR="003B6BFB" w:rsidRPr="00350BF1" w:rsidRDefault="003B6BFB" w:rsidP="003B6BFB">
            <w:pPr>
              <w:rPr>
                <w:rFonts w:cstheme="minorHAnsi"/>
                <w:szCs w:val="20"/>
              </w:rPr>
            </w:pPr>
          </w:p>
        </w:tc>
        <w:tc>
          <w:tcPr>
            <w:tcW w:w="539" w:type="pct"/>
          </w:tcPr>
          <w:p w14:paraId="4E685AAC" w14:textId="77777777" w:rsidR="003B6BFB" w:rsidRPr="00350BF1" w:rsidRDefault="003B6BFB" w:rsidP="003B6BFB">
            <w:pPr>
              <w:rPr>
                <w:rFonts w:cstheme="minorHAnsi"/>
                <w:szCs w:val="20"/>
              </w:rPr>
            </w:pPr>
          </w:p>
        </w:tc>
        <w:tc>
          <w:tcPr>
            <w:tcW w:w="605" w:type="pct"/>
          </w:tcPr>
          <w:p w14:paraId="146B5613" w14:textId="77777777" w:rsidR="003B6BFB" w:rsidRPr="00350BF1" w:rsidRDefault="003B6BFB" w:rsidP="003B6BFB">
            <w:pPr>
              <w:rPr>
                <w:rFonts w:cstheme="minorHAnsi"/>
                <w:szCs w:val="20"/>
              </w:rPr>
            </w:pPr>
          </w:p>
        </w:tc>
        <w:tc>
          <w:tcPr>
            <w:tcW w:w="673" w:type="pct"/>
          </w:tcPr>
          <w:p w14:paraId="74D1C55B" w14:textId="0152631A" w:rsidR="003B6BFB" w:rsidRPr="00350BF1" w:rsidRDefault="003B6BFB" w:rsidP="003B6BFB">
            <w:pPr>
              <w:rPr>
                <w:rFonts w:cstheme="minorHAnsi"/>
                <w:szCs w:val="20"/>
              </w:rPr>
            </w:pPr>
            <w:r w:rsidRPr="00BB0219">
              <w:t>HV031</w:t>
            </w:r>
          </w:p>
        </w:tc>
        <w:tc>
          <w:tcPr>
            <w:tcW w:w="2644" w:type="pct"/>
          </w:tcPr>
          <w:p w14:paraId="2E8D2594" w14:textId="3C3E7969" w:rsidR="003B6BFB" w:rsidRPr="00920905" w:rsidRDefault="003B6BFB" w:rsidP="003B6BFB">
            <w:r w:rsidRPr="00573399">
              <w:t>Add CO2 Sensor to HP with ADEC</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78460AB1" w14:textId="32151134" w:rsidR="00F50B9D" w:rsidRDefault="00F50B9D" w:rsidP="00F50B9D">
      <w:pPr>
        <w:pStyle w:val="NoSpacing"/>
      </w:pPr>
    </w:p>
    <w:p w14:paraId="357AA312" w14:textId="77777777" w:rsidR="00F50B9D" w:rsidRPr="00F50B9D" w:rsidRDefault="00F50B9D" w:rsidP="00F50B9D">
      <w:pPr>
        <w:pStyle w:val="NoSpacing"/>
        <w:rPr>
          <w:b/>
          <w:i/>
        </w:rPr>
      </w:pPr>
      <w:r w:rsidRPr="00F50B9D">
        <w:rPr>
          <w:b/>
          <w:i/>
        </w:rPr>
        <w:t>Program Restrictions and Guidelines</w:t>
      </w:r>
    </w:p>
    <w:p w14:paraId="3CCEC9F9" w14:textId="77777777" w:rsidR="00F50B9D" w:rsidRPr="00F50B9D" w:rsidRDefault="00F50B9D" w:rsidP="00F50B9D">
      <w:pPr>
        <w:pStyle w:val="NoSpacing"/>
      </w:pPr>
      <w:r w:rsidRPr="00F50B9D">
        <w:t xml:space="preserve">The target market for DCV is spaces in commercial buildings served by packaged single zone DX HVAC units, sometimes referred to as rooftop units (RTU) and split systems. </w:t>
      </w:r>
    </w:p>
    <w:p w14:paraId="64272687" w14:textId="3B8EBC14" w:rsidR="00F50B9D" w:rsidRPr="00F50B9D" w:rsidRDefault="00F50B9D" w:rsidP="00F50B9D">
      <w:pPr>
        <w:pStyle w:val="NoSpacing"/>
      </w:pPr>
      <w:r w:rsidRPr="00F50B9D">
        <w:t>This control upgrade for existing units is a Retrofit Add-on (REA) application, meaning Unit Energy Savings (UES) values provided are for an existing system without DCV as the baseline. There are no above-code savings reported as Title 24 201</w:t>
      </w:r>
      <w:r w:rsidR="00637956">
        <w:t>6</w:t>
      </w:r>
      <w:r w:rsidRPr="00F50B9D">
        <w:t xml:space="preserve"> §120.1</w:t>
      </w:r>
      <w:r w:rsidR="00962CC3">
        <w:rPr>
          <w:rStyle w:val="EndnoteReference"/>
        </w:rPr>
        <w:endnoteReference w:id="1"/>
      </w:r>
      <w:r w:rsidRPr="00F50B9D">
        <w:t xml:space="preserve"> requires DCV in most of the building types and activity area types considered. The UES values are not appropriate for Replace on Burnout (ROB) or New Construction (NC) applications. </w:t>
      </w:r>
    </w:p>
    <w:p w14:paraId="4CFDF769" w14:textId="77777777" w:rsidR="00F50B9D" w:rsidRPr="00F50B9D" w:rsidRDefault="00F50B9D" w:rsidP="00F50B9D">
      <w:pPr>
        <w:pStyle w:val="NoSpacing"/>
      </w:pPr>
    </w:p>
    <w:p w14:paraId="46096657" w14:textId="6DD223E7" w:rsidR="00F50B9D" w:rsidRPr="00F50B9D" w:rsidRDefault="00F50B9D" w:rsidP="00F50B9D">
      <w:pPr>
        <w:pStyle w:val="NoSpacing"/>
      </w:pPr>
      <w:r w:rsidRPr="00F50B9D">
        <w:t>The DC</w:t>
      </w:r>
      <w:r w:rsidR="00637956">
        <w:t>V</w:t>
      </w:r>
      <w:r w:rsidRPr="00F50B9D">
        <w:t xml:space="preserve"> measures described in this workpaper are available only for below 12 DEER building types: Asm (Assembly), EPr (Education – Primary School), ERC(Education - Relocatable Classroom), ESe(Education – Secondary School), EUn (Education – University), MBT (Manufacturing Biotech), OfS (Office - Small), RFF </w:t>
      </w:r>
      <w:r w:rsidRPr="00F50B9D">
        <w:lastRenderedPageBreak/>
        <w:t xml:space="preserve">(Restaurant – Fast Food), RSD (Restaurant – Sit-Down), Rt3 (Retail – Multistory Large ), RtL(Retail – Single-Story Large), RtS (Retail – Small).  </w:t>
      </w:r>
    </w:p>
    <w:p w14:paraId="71A7E05C" w14:textId="77777777" w:rsidR="00F50B9D" w:rsidRPr="00F50B9D" w:rsidRDefault="00F50B9D" w:rsidP="00F50B9D">
      <w:pPr>
        <w:pStyle w:val="NoSpacing"/>
        <w:rPr>
          <w:b/>
          <w:i/>
        </w:rPr>
      </w:pPr>
    </w:p>
    <w:p w14:paraId="50571192" w14:textId="77777777" w:rsidR="00F50B9D" w:rsidRPr="00F50B9D" w:rsidRDefault="00F50B9D" w:rsidP="00F50B9D">
      <w:pPr>
        <w:pStyle w:val="NoSpacing"/>
        <w:rPr>
          <w:b/>
          <w:i/>
        </w:rPr>
      </w:pPr>
      <w:r w:rsidRPr="00F50B9D">
        <w:rPr>
          <w:b/>
          <w:i/>
        </w:rPr>
        <w:t xml:space="preserve">Terms and Conditions: </w:t>
      </w:r>
    </w:p>
    <w:p w14:paraId="3749FA76" w14:textId="77777777" w:rsidR="00F50B9D" w:rsidRPr="00F50B9D" w:rsidRDefault="00F50B9D" w:rsidP="00F50B9D">
      <w:pPr>
        <w:pStyle w:val="NoSpacing"/>
      </w:pPr>
      <w:r w:rsidRPr="00F50B9D">
        <w:t>The following eligibility requirements must be satisfied prior to application of the measure:</w:t>
      </w:r>
    </w:p>
    <w:p w14:paraId="2C1A5457" w14:textId="77777777" w:rsidR="00F50B9D" w:rsidRPr="00F50B9D" w:rsidRDefault="00F50B9D" w:rsidP="00F50B9D">
      <w:pPr>
        <w:pStyle w:val="NoSpacing"/>
        <w:numPr>
          <w:ilvl w:val="0"/>
          <w:numId w:val="38"/>
        </w:numPr>
      </w:pPr>
      <w:r w:rsidRPr="00F50B9D">
        <w:t>Existing system must be packaged single zone DX cooling unit with gas heat [HV026, HV027], cooling only unit [HV028, HV029], or heat pump [HV030, HV031]</w:t>
      </w:r>
    </w:p>
    <w:p w14:paraId="09224E6C" w14:textId="06F6FFFA" w:rsidR="00F50B9D" w:rsidRPr="00F50B9D" w:rsidRDefault="00F50B9D" w:rsidP="00F50B9D">
      <w:pPr>
        <w:pStyle w:val="NoSpacing"/>
        <w:numPr>
          <w:ilvl w:val="0"/>
          <w:numId w:val="38"/>
        </w:numPr>
      </w:pPr>
      <w:r w:rsidRPr="00F50B9D">
        <w:t>Existing system must have an operable airside economizer installed, and economizer high limit must be optimized for the climate per Title 24 201</w:t>
      </w:r>
      <w:r w:rsidR="002C6D15">
        <w:t>6</w:t>
      </w:r>
      <w:r w:rsidRPr="00F50B9D">
        <w:t xml:space="preserve"> Table 140.4-B, adapted below in </w:t>
      </w:r>
      <w:r w:rsidRPr="00F50B9D">
        <w:fldChar w:fldCharType="begin"/>
      </w:r>
      <w:r w:rsidRPr="00F50B9D">
        <w:instrText xml:space="preserve"> REF _Ref384196313 \h  \* MERGEFORMAT </w:instrText>
      </w:r>
      <w:r w:rsidRPr="00F50B9D">
        <w:fldChar w:fldCharType="separate"/>
      </w:r>
      <w:r w:rsidRPr="00F50B9D">
        <w:t>Table 1</w:t>
      </w:r>
      <w:r w:rsidRPr="00F50B9D">
        <w:fldChar w:fldCharType="end"/>
      </w:r>
      <w:r w:rsidRPr="00F50B9D">
        <w:t xml:space="preserve"> for reference.</w:t>
      </w:r>
    </w:p>
    <w:p w14:paraId="04273D49" w14:textId="4A8749D9" w:rsidR="00F50B9D" w:rsidRPr="00F50B9D" w:rsidRDefault="00F50B9D" w:rsidP="00F50B9D">
      <w:pPr>
        <w:pStyle w:val="NoSpacing"/>
        <w:numPr>
          <w:ilvl w:val="0"/>
          <w:numId w:val="38"/>
        </w:numPr>
      </w:pPr>
      <w:r w:rsidRPr="00F50B9D">
        <w:t xml:space="preserve">Existing system must ventilate continuously during occupied hours and may not have any other device previously installed that is intended to perform DCV such as an occupancy sensor that controls ventilation rate. </w:t>
      </w:r>
    </w:p>
    <w:p w14:paraId="7066C7E6" w14:textId="77777777" w:rsidR="00F50B9D" w:rsidRPr="00F50B9D" w:rsidRDefault="00F50B9D" w:rsidP="00F50B9D">
      <w:pPr>
        <w:pStyle w:val="NoSpacing"/>
        <w:numPr>
          <w:ilvl w:val="0"/>
          <w:numId w:val="38"/>
        </w:numPr>
      </w:pPr>
      <w:r w:rsidRPr="00F50B9D">
        <w:t>The measure shall only be applied where it will result in a reduction to the overall ventilation that is supplied for the space.</w:t>
      </w:r>
    </w:p>
    <w:p w14:paraId="320FAD1B" w14:textId="77777777" w:rsidR="00F50B9D" w:rsidRPr="00F50B9D" w:rsidRDefault="00F50B9D" w:rsidP="00F50B9D">
      <w:pPr>
        <w:pStyle w:val="NoSpacing"/>
      </w:pPr>
    </w:p>
    <w:p w14:paraId="1E70A3AD" w14:textId="1AC97792" w:rsidR="00F50B9D" w:rsidRPr="00F50B9D" w:rsidRDefault="00F50B9D" w:rsidP="00F50B9D">
      <w:pPr>
        <w:pStyle w:val="NoSpacing"/>
        <w:rPr>
          <w:b/>
          <w:bCs/>
        </w:rPr>
      </w:pPr>
      <w:bookmarkStart w:id="10" w:name="_Ref384196313"/>
      <w:bookmarkStart w:id="11" w:name="_Toc386811741"/>
      <w:r w:rsidRPr="00F50B9D">
        <w:rPr>
          <w:b/>
          <w:bCs/>
        </w:rPr>
        <w:t xml:space="preserve">Table </w:t>
      </w:r>
      <w:r w:rsidRPr="00F50B9D">
        <w:rPr>
          <w:b/>
          <w:bCs/>
        </w:rPr>
        <w:fldChar w:fldCharType="begin"/>
      </w:r>
      <w:r w:rsidRPr="00F50B9D">
        <w:rPr>
          <w:b/>
          <w:bCs/>
        </w:rPr>
        <w:instrText xml:space="preserve"> SEQ Table \* ARABIC </w:instrText>
      </w:r>
      <w:r w:rsidRPr="00F50B9D">
        <w:rPr>
          <w:b/>
          <w:bCs/>
        </w:rPr>
        <w:fldChar w:fldCharType="separate"/>
      </w:r>
      <w:r w:rsidR="00064E9D">
        <w:rPr>
          <w:b/>
          <w:bCs/>
          <w:noProof/>
        </w:rPr>
        <w:t>1</w:t>
      </w:r>
      <w:r w:rsidRPr="00F50B9D">
        <w:fldChar w:fldCharType="end"/>
      </w:r>
      <w:bookmarkEnd w:id="10"/>
      <w:r w:rsidRPr="00F50B9D">
        <w:rPr>
          <w:b/>
          <w:bCs/>
        </w:rPr>
        <w:t xml:space="preserve"> Economizer High Limit Shut Off Control Requirements*</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F50B9D" w:rsidRPr="00F50B9D" w14:paraId="3CA5E162" w14:textId="77777777" w:rsidTr="0038188F">
        <w:tc>
          <w:tcPr>
            <w:tcW w:w="3192" w:type="dxa"/>
            <w:shd w:val="clear" w:color="auto" w:fill="D9D9D9" w:themeFill="background1" w:themeFillShade="D9"/>
          </w:tcPr>
          <w:p w14:paraId="6243E688" w14:textId="77777777" w:rsidR="00F50B9D" w:rsidRPr="0038188F" w:rsidRDefault="00F50B9D" w:rsidP="00F50B9D">
            <w:pPr>
              <w:pStyle w:val="NoSpacing"/>
              <w:rPr>
                <w:b/>
                <w:sz w:val="20"/>
                <w:szCs w:val="20"/>
              </w:rPr>
            </w:pPr>
            <w:r w:rsidRPr="0038188F">
              <w:rPr>
                <w:b/>
                <w:sz w:val="20"/>
                <w:szCs w:val="20"/>
              </w:rPr>
              <w:t>Device Type</w:t>
            </w:r>
          </w:p>
        </w:tc>
        <w:tc>
          <w:tcPr>
            <w:tcW w:w="3192" w:type="dxa"/>
            <w:shd w:val="clear" w:color="auto" w:fill="D9D9D9" w:themeFill="background1" w:themeFillShade="D9"/>
          </w:tcPr>
          <w:p w14:paraId="61EFE292" w14:textId="77777777" w:rsidR="00F50B9D" w:rsidRPr="0038188F" w:rsidRDefault="00F50B9D" w:rsidP="00F50B9D">
            <w:pPr>
              <w:pStyle w:val="NoSpacing"/>
              <w:rPr>
                <w:b/>
                <w:sz w:val="20"/>
                <w:szCs w:val="20"/>
              </w:rPr>
            </w:pPr>
            <w:r w:rsidRPr="0038188F">
              <w:rPr>
                <w:b/>
                <w:sz w:val="20"/>
                <w:szCs w:val="20"/>
              </w:rPr>
              <w:t>Climate Zones</w:t>
            </w:r>
          </w:p>
        </w:tc>
        <w:tc>
          <w:tcPr>
            <w:tcW w:w="3192" w:type="dxa"/>
            <w:shd w:val="clear" w:color="auto" w:fill="D9D9D9" w:themeFill="background1" w:themeFillShade="D9"/>
          </w:tcPr>
          <w:p w14:paraId="4AD3DBD9" w14:textId="77777777" w:rsidR="00F50B9D" w:rsidRPr="0038188F" w:rsidRDefault="00F50B9D" w:rsidP="00F50B9D">
            <w:pPr>
              <w:pStyle w:val="NoSpacing"/>
              <w:rPr>
                <w:b/>
                <w:sz w:val="20"/>
                <w:szCs w:val="20"/>
              </w:rPr>
            </w:pPr>
            <w:r w:rsidRPr="0038188F">
              <w:rPr>
                <w:b/>
                <w:sz w:val="20"/>
                <w:szCs w:val="20"/>
              </w:rPr>
              <w:t>Economizer High Limit Equation (economizer off when)</w:t>
            </w:r>
          </w:p>
        </w:tc>
      </w:tr>
      <w:tr w:rsidR="00F50B9D" w:rsidRPr="00F50B9D" w14:paraId="52E1939B" w14:textId="77777777" w:rsidTr="0038188F">
        <w:tc>
          <w:tcPr>
            <w:tcW w:w="3192" w:type="dxa"/>
            <w:vMerge w:val="restart"/>
          </w:tcPr>
          <w:p w14:paraId="42C4465E" w14:textId="77777777" w:rsidR="00F50B9D" w:rsidRPr="0038188F" w:rsidRDefault="00F50B9D" w:rsidP="00F50B9D">
            <w:pPr>
              <w:pStyle w:val="NoSpacing"/>
              <w:rPr>
                <w:sz w:val="20"/>
                <w:szCs w:val="20"/>
              </w:rPr>
            </w:pPr>
            <w:r w:rsidRPr="0038188F">
              <w:rPr>
                <w:sz w:val="20"/>
                <w:szCs w:val="20"/>
              </w:rPr>
              <w:t>Fixed Dry Bulb</w:t>
            </w:r>
          </w:p>
        </w:tc>
        <w:tc>
          <w:tcPr>
            <w:tcW w:w="3192" w:type="dxa"/>
          </w:tcPr>
          <w:p w14:paraId="7ECC4ED9" w14:textId="77777777" w:rsidR="00F50B9D" w:rsidRPr="0038188F" w:rsidRDefault="00F50B9D" w:rsidP="00F50B9D">
            <w:pPr>
              <w:pStyle w:val="NoSpacing"/>
              <w:rPr>
                <w:sz w:val="20"/>
                <w:szCs w:val="20"/>
              </w:rPr>
            </w:pPr>
            <w:r w:rsidRPr="0038188F">
              <w:rPr>
                <w:sz w:val="20"/>
                <w:szCs w:val="20"/>
              </w:rPr>
              <w:t>1, 3, 5, 11-16</w:t>
            </w:r>
          </w:p>
        </w:tc>
        <w:tc>
          <w:tcPr>
            <w:tcW w:w="3192" w:type="dxa"/>
          </w:tcPr>
          <w:p w14:paraId="7EF9DEB4" w14:textId="77777777" w:rsidR="00F50B9D" w:rsidRPr="0038188F" w:rsidRDefault="00F50B9D" w:rsidP="00F50B9D">
            <w:pPr>
              <w:pStyle w:val="NoSpacing"/>
              <w:rPr>
                <w:sz w:val="20"/>
                <w:szCs w:val="20"/>
              </w:rPr>
            </w:pPr>
            <w:r w:rsidRPr="0038188F">
              <w:rPr>
                <w:sz w:val="20"/>
                <w:szCs w:val="20"/>
              </w:rPr>
              <w:t>Toa&gt;75°F</w:t>
            </w:r>
          </w:p>
        </w:tc>
      </w:tr>
      <w:tr w:rsidR="00F50B9D" w:rsidRPr="00F50B9D" w14:paraId="6F8376F4" w14:textId="77777777" w:rsidTr="0038188F">
        <w:tc>
          <w:tcPr>
            <w:tcW w:w="3192" w:type="dxa"/>
            <w:vMerge/>
          </w:tcPr>
          <w:p w14:paraId="32E870A9" w14:textId="77777777" w:rsidR="00F50B9D" w:rsidRPr="0038188F" w:rsidRDefault="00F50B9D" w:rsidP="00F50B9D">
            <w:pPr>
              <w:pStyle w:val="NoSpacing"/>
              <w:rPr>
                <w:sz w:val="20"/>
                <w:szCs w:val="20"/>
              </w:rPr>
            </w:pPr>
          </w:p>
        </w:tc>
        <w:tc>
          <w:tcPr>
            <w:tcW w:w="3192" w:type="dxa"/>
          </w:tcPr>
          <w:p w14:paraId="1A36C496" w14:textId="77777777" w:rsidR="00F50B9D" w:rsidRPr="0038188F" w:rsidRDefault="00F50B9D" w:rsidP="00F50B9D">
            <w:pPr>
              <w:pStyle w:val="NoSpacing"/>
              <w:rPr>
                <w:sz w:val="20"/>
                <w:szCs w:val="20"/>
              </w:rPr>
            </w:pPr>
            <w:r w:rsidRPr="0038188F">
              <w:rPr>
                <w:sz w:val="20"/>
                <w:szCs w:val="20"/>
              </w:rPr>
              <w:t>2, 4, 10</w:t>
            </w:r>
          </w:p>
        </w:tc>
        <w:tc>
          <w:tcPr>
            <w:tcW w:w="3192" w:type="dxa"/>
          </w:tcPr>
          <w:p w14:paraId="42206304" w14:textId="77777777" w:rsidR="00F50B9D" w:rsidRPr="0038188F" w:rsidRDefault="00F50B9D" w:rsidP="00F50B9D">
            <w:pPr>
              <w:pStyle w:val="NoSpacing"/>
              <w:rPr>
                <w:sz w:val="20"/>
                <w:szCs w:val="20"/>
              </w:rPr>
            </w:pPr>
            <w:r w:rsidRPr="0038188F">
              <w:rPr>
                <w:sz w:val="20"/>
                <w:szCs w:val="20"/>
              </w:rPr>
              <w:t>Toa&gt;73°F</w:t>
            </w:r>
          </w:p>
        </w:tc>
      </w:tr>
      <w:tr w:rsidR="00F50B9D" w:rsidRPr="00F50B9D" w14:paraId="4FB6DA54" w14:textId="77777777" w:rsidTr="0038188F">
        <w:tc>
          <w:tcPr>
            <w:tcW w:w="3192" w:type="dxa"/>
            <w:vMerge/>
          </w:tcPr>
          <w:p w14:paraId="21775B10" w14:textId="77777777" w:rsidR="00F50B9D" w:rsidRPr="0038188F" w:rsidRDefault="00F50B9D" w:rsidP="00F50B9D">
            <w:pPr>
              <w:pStyle w:val="NoSpacing"/>
              <w:rPr>
                <w:sz w:val="20"/>
                <w:szCs w:val="20"/>
              </w:rPr>
            </w:pPr>
          </w:p>
        </w:tc>
        <w:tc>
          <w:tcPr>
            <w:tcW w:w="3192" w:type="dxa"/>
          </w:tcPr>
          <w:p w14:paraId="7AED485B" w14:textId="77777777" w:rsidR="00F50B9D" w:rsidRPr="0038188F" w:rsidRDefault="00F50B9D" w:rsidP="00F50B9D">
            <w:pPr>
              <w:pStyle w:val="NoSpacing"/>
              <w:rPr>
                <w:sz w:val="20"/>
                <w:szCs w:val="20"/>
              </w:rPr>
            </w:pPr>
            <w:r w:rsidRPr="0038188F">
              <w:rPr>
                <w:sz w:val="20"/>
                <w:szCs w:val="20"/>
              </w:rPr>
              <w:t>6, 8, 9</w:t>
            </w:r>
          </w:p>
        </w:tc>
        <w:tc>
          <w:tcPr>
            <w:tcW w:w="3192" w:type="dxa"/>
          </w:tcPr>
          <w:p w14:paraId="7BFDB933" w14:textId="77777777" w:rsidR="00F50B9D" w:rsidRPr="0038188F" w:rsidRDefault="00F50B9D" w:rsidP="00F50B9D">
            <w:pPr>
              <w:pStyle w:val="NoSpacing"/>
              <w:rPr>
                <w:sz w:val="20"/>
                <w:szCs w:val="20"/>
              </w:rPr>
            </w:pPr>
            <w:r w:rsidRPr="0038188F">
              <w:rPr>
                <w:sz w:val="20"/>
                <w:szCs w:val="20"/>
              </w:rPr>
              <w:t>Toa&gt;71°F</w:t>
            </w:r>
          </w:p>
        </w:tc>
      </w:tr>
      <w:tr w:rsidR="00F50B9D" w:rsidRPr="00F50B9D" w14:paraId="1B695899" w14:textId="77777777" w:rsidTr="0038188F">
        <w:tc>
          <w:tcPr>
            <w:tcW w:w="3192" w:type="dxa"/>
            <w:vMerge/>
          </w:tcPr>
          <w:p w14:paraId="34E2ABA6" w14:textId="77777777" w:rsidR="00F50B9D" w:rsidRPr="0038188F" w:rsidRDefault="00F50B9D" w:rsidP="00F50B9D">
            <w:pPr>
              <w:pStyle w:val="NoSpacing"/>
              <w:rPr>
                <w:sz w:val="20"/>
                <w:szCs w:val="20"/>
              </w:rPr>
            </w:pPr>
          </w:p>
        </w:tc>
        <w:tc>
          <w:tcPr>
            <w:tcW w:w="3192" w:type="dxa"/>
          </w:tcPr>
          <w:p w14:paraId="76DFBEB1" w14:textId="77777777" w:rsidR="00F50B9D" w:rsidRPr="0038188F" w:rsidRDefault="00F50B9D" w:rsidP="00F50B9D">
            <w:pPr>
              <w:pStyle w:val="NoSpacing"/>
              <w:rPr>
                <w:sz w:val="20"/>
                <w:szCs w:val="20"/>
              </w:rPr>
            </w:pPr>
            <w:r w:rsidRPr="0038188F">
              <w:rPr>
                <w:sz w:val="20"/>
                <w:szCs w:val="20"/>
              </w:rPr>
              <w:t>7</w:t>
            </w:r>
          </w:p>
        </w:tc>
        <w:tc>
          <w:tcPr>
            <w:tcW w:w="3192" w:type="dxa"/>
          </w:tcPr>
          <w:p w14:paraId="00A37FC5" w14:textId="77777777" w:rsidR="00F50B9D" w:rsidRPr="0038188F" w:rsidRDefault="00F50B9D" w:rsidP="00F50B9D">
            <w:pPr>
              <w:pStyle w:val="NoSpacing"/>
              <w:rPr>
                <w:sz w:val="20"/>
                <w:szCs w:val="20"/>
              </w:rPr>
            </w:pPr>
            <w:r w:rsidRPr="0038188F">
              <w:rPr>
                <w:sz w:val="20"/>
                <w:szCs w:val="20"/>
              </w:rPr>
              <w:t>Toa&gt;69°F</w:t>
            </w:r>
          </w:p>
        </w:tc>
      </w:tr>
      <w:tr w:rsidR="00F50B9D" w:rsidRPr="00F50B9D" w14:paraId="6292ABE2" w14:textId="77777777" w:rsidTr="0038188F">
        <w:tc>
          <w:tcPr>
            <w:tcW w:w="3192" w:type="dxa"/>
            <w:vMerge w:val="restart"/>
            <w:shd w:val="clear" w:color="auto" w:fill="auto"/>
          </w:tcPr>
          <w:p w14:paraId="3378A99F" w14:textId="77777777" w:rsidR="00F50B9D" w:rsidRPr="0038188F" w:rsidRDefault="00F50B9D" w:rsidP="00F50B9D">
            <w:pPr>
              <w:pStyle w:val="NoSpacing"/>
              <w:rPr>
                <w:sz w:val="20"/>
                <w:szCs w:val="20"/>
              </w:rPr>
            </w:pPr>
            <w:r w:rsidRPr="0038188F">
              <w:rPr>
                <w:sz w:val="20"/>
                <w:szCs w:val="20"/>
              </w:rPr>
              <w:t>Differential Dry Bulb</w:t>
            </w:r>
          </w:p>
        </w:tc>
        <w:tc>
          <w:tcPr>
            <w:tcW w:w="3192" w:type="dxa"/>
          </w:tcPr>
          <w:p w14:paraId="370FF50B" w14:textId="77777777" w:rsidR="00F50B9D" w:rsidRPr="0038188F" w:rsidRDefault="00F50B9D" w:rsidP="00F50B9D">
            <w:pPr>
              <w:pStyle w:val="NoSpacing"/>
              <w:rPr>
                <w:sz w:val="20"/>
                <w:szCs w:val="20"/>
              </w:rPr>
            </w:pPr>
            <w:r w:rsidRPr="0038188F">
              <w:rPr>
                <w:sz w:val="20"/>
                <w:szCs w:val="20"/>
              </w:rPr>
              <w:t>1, 3, 5, 11-16</w:t>
            </w:r>
          </w:p>
        </w:tc>
        <w:tc>
          <w:tcPr>
            <w:tcW w:w="3192" w:type="dxa"/>
          </w:tcPr>
          <w:p w14:paraId="7A3872A2" w14:textId="77777777" w:rsidR="00F50B9D" w:rsidRPr="0038188F" w:rsidRDefault="00F50B9D" w:rsidP="00F50B9D">
            <w:pPr>
              <w:pStyle w:val="NoSpacing"/>
              <w:rPr>
                <w:sz w:val="20"/>
                <w:szCs w:val="20"/>
              </w:rPr>
            </w:pPr>
            <w:r w:rsidRPr="0038188F">
              <w:rPr>
                <w:sz w:val="20"/>
                <w:szCs w:val="20"/>
              </w:rPr>
              <w:t>Toa&gt;Tra°F</w:t>
            </w:r>
          </w:p>
        </w:tc>
      </w:tr>
      <w:tr w:rsidR="00F50B9D" w:rsidRPr="00F50B9D" w14:paraId="55521112" w14:textId="77777777" w:rsidTr="0038188F">
        <w:tc>
          <w:tcPr>
            <w:tcW w:w="3192" w:type="dxa"/>
            <w:vMerge/>
            <w:shd w:val="clear" w:color="auto" w:fill="auto"/>
          </w:tcPr>
          <w:p w14:paraId="2FD8E0D5" w14:textId="77777777" w:rsidR="00F50B9D" w:rsidRPr="0038188F" w:rsidRDefault="00F50B9D" w:rsidP="00F50B9D">
            <w:pPr>
              <w:pStyle w:val="NoSpacing"/>
              <w:rPr>
                <w:sz w:val="20"/>
                <w:szCs w:val="20"/>
              </w:rPr>
            </w:pPr>
          </w:p>
        </w:tc>
        <w:tc>
          <w:tcPr>
            <w:tcW w:w="3192" w:type="dxa"/>
          </w:tcPr>
          <w:p w14:paraId="2E361C27" w14:textId="77777777" w:rsidR="00F50B9D" w:rsidRPr="0038188F" w:rsidRDefault="00F50B9D" w:rsidP="00F50B9D">
            <w:pPr>
              <w:pStyle w:val="NoSpacing"/>
              <w:rPr>
                <w:sz w:val="20"/>
                <w:szCs w:val="20"/>
              </w:rPr>
            </w:pPr>
            <w:r w:rsidRPr="0038188F">
              <w:rPr>
                <w:sz w:val="20"/>
                <w:szCs w:val="20"/>
              </w:rPr>
              <w:t>2, 4, 10</w:t>
            </w:r>
          </w:p>
        </w:tc>
        <w:tc>
          <w:tcPr>
            <w:tcW w:w="3192" w:type="dxa"/>
          </w:tcPr>
          <w:p w14:paraId="6CE2D6A9" w14:textId="77777777" w:rsidR="00F50B9D" w:rsidRPr="0038188F" w:rsidRDefault="00F50B9D" w:rsidP="00F50B9D">
            <w:pPr>
              <w:pStyle w:val="NoSpacing"/>
              <w:rPr>
                <w:sz w:val="20"/>
                <w:szCs w:val="20"/>
              </w:rPr>
            </w:pPr>
            <w:r w:rsidRPr="0038188F">
              <w:rPr>
                <w:sz w:val="20"/>
                <w:szCs w:val="20"/>
              </w:rPr>
              <w:t>Toa&gt;Tra-2°F</w:t>
            </w:r>
          </w:p>
        </w:tc>
      </w:tr>
      <w:tr w:rsidR="00F50B9D" w:rsidRPr="00F50B9D" w14:paraId="76A35806" w14:textId="77777777" w:rsidTr="0038188F">
        <w:tc>
          <w:tcPr>
            <w:tcW w:w="3192" w:type="dxa"/>
            <w:vMerge/>
            <w:shd w:val="clear" w:color="auto" w:fill="auto"/>
          </w:tcPr>
          <w:p w14:paraId="4865CD29" w14:textId="77777777" w:rsidR="00F50B9D" w:rsidRPr="0038188F" w:rsidRDefault="00F50B9D" w:rsidP="00F50B9D">
            <w:pPr>
              <w:pStyle w:val="NoSpacing"/>
              <w:rPr>
                <w:sz w:val="20"/>
                <w:szCs w:val="20"/>
              </w:rPr>
            </w:pPr>
          </w:p>
        </w:tc>
        <w:tc>
          <w:tcPr>
            <w:tcW w:w="3192" w:type="dxa"/>
          </w:tcPr>
          <w:p w14:paraId="047C6DC6" w14:textId="77777777" w:rsidR="00F50B9D" w:rsidRPr="0038188F" w:rsidRDefault="00F50B9D" w:rsidP="00F50B9D">
            <w:pPr>
              <w:pStyle w:val="NoSpacing"/>
              <w:rPr>
                <w:sz w:val="20"/>
                <w:szCs w:val="20"/>
              </w:rPr>
            </w:pPr>
            <w:r w:rsidRPr="0038188F">
              <w:rPr>
                <w:sz w:val="20"/>
                <w:szCs w:val="20"/>
              </w:rPr>
              <w:t>6, 8, 9</w:t>
            </w:r>
          </w:p>
        </w:tc>
        <w:tc>
          <w:tcPr>
            <w:tcW w:w="3192" w:type="dxa"/>
          </w:tcPr>
          <w:p w14:paraId="348BEA2C" w14:textId="77777777" w:rsidR="00F50B9D" w:rsidRPr="0038188F" w:rsidRDefault="00F50B9D" w:rsidP="00F50B9D">
            <w:pPr>
              <w:pStyle w:val="NoSpacing"/>
              <w:rPr>
                <w:sz w:val="20"/>
                <w:szCs w:val="20"/>
              </w:rPr>
            </w:pPr>
            <w:r w:rsidRPr="0038188F">
              <w:rPr>
                <w:sz w:val="20"/>
                <w:szCs w:val="20"/>
              </w:rPr>
              <w:t>Toa&gt;Tra-4°F</w:t>
            </w:r>
          </w:p>
        </w:tc>
      </w:tr>
      <w:tr w:rsidR="00F50B9D" w:rsidRPr="00F50B9D" w14:paraId="3E70EED3" w14:textId="77777777" w:rsidTr="0038188F">
        <w:tc>
          <w:tcPr>
            <w:tcW w:w="3192" w:type="dxa"/>
            <w:vMerge/>
            <w:shd w:val="clear" w:color="auto" w:fill="auto"/>
          </w:tcPr>
          <w:p w14:paraId="7374C74D" w14:textId="77777777" w:rsidR="00F50B9D" w:rsidRPr="0038188F" w:rsidRDefault="00F50B9D" w:rsidP="00F50B9D">
            <w:pPr>
              <w:pStyle w:val="NoSpacing"/>
              <w:rPr>
                <w:sz w:val="20"/>
                <w:szCs w:val="20"/>
              </w:rPr>
            </w:pPr>
          </w:p>
        </w:tc>
        <w:tc>
          <w:tcPr>
            <w:tcW w:w="3192" w:type="dxa"/>
          </w:tcPr>
          <w:p w14:paraId="620ECF2E" w14:textId="77777777" w:rsidR="00F50B9D" w:rsidRPr="0038188F" w:rsidRDefault="00F50B9D" w:rsidP="00F50B9D">
            <w:pPr>
              <w:pStyle w:val="NoSpacing"/>
              <w:rPr>
                <w:sz w:val="20"/>
                <w:szCs w:val="20"/>
              </w:rPr>
            </w:pPr>
            <w:r w:rsidRPr="0038188F">
              <w:rPr>
                <w:sz w:val="20"/>
                <w:szCs w:val="20"/>
              </w:rPr>
              <w:t>7</w:t>
            </w:r>
          </w:p>
        </w:tc>
        <w:tc>
          <w:tcPr>
            <w:tcW w:w="3192" w:type="dxa"/>
          </w:tcPr>
          <w:p w14:paraId="6D2EFB70" w14:textId="77777777" w:rsidR="00F50B9D" w:rsidRPr="0038188F" w:rsidRDefault="00F50B9D" w:rsidP="00F50B9D">
            <w:pPr>
              <w:pStyle w:val="NoSpacing"/>
              <w:rPr>
                <w:sz w:val="20"/>
                <w:szCs w:val="20"/>
              </w:rPr>
            </w:pPr>
            <w:r w:rsidRPr="0038188F">
              <w:rPr>
                <w:sz w:val="20"/>
                <w:szCs w:val="20"/>
              </w:rPr>
              <w:t>Toa&gt;Tra-6°F</w:t>
            </w:r>
          </w:p>
        </w:tc>
      </w:tr>
      <w:tr w:rsidR="00F50B9D" w:rsidRPr="00F50B9D" w14:paraId="415E4099" w14:textId="77777777" w:rsidTr="0038188F">
        <w:tc>
          <w:tcPr>
            <w:tcW w:w="3192" w:type="dxa"/>
            <w:shd w:val="clear" w:color="auto" w:fill="auto"/>
          </w:tcPr>
          <w:p w14:paraId="0D86E74D" w14:textId="77777777" w:rsidR="00F50B9D" w:rsidRPr="0038188F" w:rsidRDefault="00F50B9D" w:rsidP="00F50B9D">
            <w:pPr>
              <w:pStyle w:val="NoSpacing"/>
              <w:rPr>
                <w:sz w:val="20"/>
                <w:szCs w:val="20"/>
              </w:rPr>
            </w:pPr>
            <w:r w:rsidRPr="0038188F">
              <w:rPr>
                <w:sz w:val="20"/>
                <w:szCs w:val="20"/>
              </w:rPr>
              <w:t>Fixed Enthalpy + Fixed Dry Bulb</w:t>
            </w:r>
          </w:p>
        </w:tc>
        <w:tc>
          <w:tcPr>
            <w:tcW w:w="3192" w:type="dxa"/>
          </w:tcPr>
          <w:p w14:paraId="0B6435DD" w14:textId="77777777" w:rsidR="00F50B9D" w:rsidRPr="0038188F" w:rsidRDefault="00F50B9D" w:rsidP="00F50B9D">
            <w:pPr>
              <w:pStyle w:val="NoSpacing"/>
              <w:rPr>
                <w:sz w:val="20"/>
                <w:szCs w:val="20"/>
              </w:rPr>
            </w:pPr>
            <w:r w:rsidRPr="0038188F">
              <w:rPr>
                <w:sz w:val="20"/>
                <w:szCs w:val="20"/>
              </w:rPr>
              <w:t>All</w:t>
            </w:r>
          </w:p>
        </w:tc>
        <w:tc>
          <w:tcPr>
            <w:tcW w:w="3192" w:type="dxa"/>
          </w:tcPr>
          <w:p w14:paraId="1E731E4D" w14:textId="77777777" w:rsidR="00F50B9D" w:rsidRPr="0038188F" w:rsidRDefault="00F50B9D" w:rsidP="00F50B9D">
            <w:pPr>
              <w:pStyle w:val="NoSpacing"/>
              <w:rPr>
                <w:sz w:val="20"/>
                <w:szCs w:val="20"/>
              </w:rPr>
            </w:pPr>
            <w:r w:rsidRPr="0038188F">
              <w:rPr>
                <w:sz w:val="20"/>
                <w:szCs w:val="20"/>
              </w:rPr>
              <w:t>Hoa&gt;28Btu/lb or Toa&gt;75°F</w:t>
            </w:r>
          </w:p>
        </w:tc>
      </w:tr>
    </w:tbl>
    <w:p w14:paraId="57E0F224" w14:textId="0131D49F" w:rsidR="00F50B9D" w:rsidRPr="00F50B9D" w:rsidRDefault="00F50B9D" w:rsidP="00F50B9D">
      <w:pPr>
        <w:pStyle w:val="NoSpacing"/>
      </w:pPr>
      <w:r w:rsidRPr="00F50B9D">
        <w:t>*Adapted from Title 24 201</w:t>
      </w:r>
      <w:r w:rsidR="002C6D15">
        <w:t>6</w:t>
      </w:r>
      <w:r w:rsidRPr="00F50B9D">
        <w:t xml:space="preserve"> Table 140.4-B. Refer to source for additional detail.</w:t>
      </w:r>
    </w:p>
    <w:p w14:paraId="6BB630A2" w14:textId="77777777" w:rsidR="00F50B9D" w:rsidRPr="00F50B9D" w:rsidRDefault="00F50B9D" w:rsidP="00F50B9D">
      <w:pPr>
        <w:pStyle w:val="NoSpacing"/>
      </w:pPr>
    </w:p>
    <w:p w14:paraId="4774A3B9" w14:textId="77777777" w:rsidR="00F50B9D" w:rsidRPr="00F50B9D" w:rsidRDefault="00F50B9D" w:rsidP="00F50B9D">
      <w:pPr>
        <w:pStyle w:val="NoSpacing"/>
      </w:pPr>
      <w:r w:rsidRPr="00F50B9D">
        <w:t xml:space="preserve">  </w:t>
      </w:r>
      <w:r w:rsidRPr="00F50B9D">
        <w:fldChar w:fldCharType="begin"/>
      </w:r>
      <w:r w:rsidRPr="00F50B9D">
        <w:instrText xml:space="preserve"> REF _Ref384794612 \h  \* MERGEFORMAT </w:instrText>
      </w:r>
      <w:r w:rsidRPr="00F50B9D">
        <w:fldChar w:fldCharType="separate"/>
      </w:r>
      <w:r w:rsidRPr="00F50B9D">
        <w:t>Table 2</w:t>
      </w:r>
      <w:r w:rsidRPr="00F50B9D">
        <w:fldChar w:fldCharType="end"/>
      </w:r>
      <w:r w:rsidRPr="00F50B9D">
        <w:t xml:space="preserve"> provides data required for calculation of energy savings estimates and incentives, and verification of installation and setup requirements.</w:t>
      </w:r>
    </w:p>
    <w:p w14:paraId="60B9C732" w14:textId="77777777" w:rsidR="00F50B9D" w:rsidRPr="00F50B9D" w:rsidRDefault="00F50B9D" w:rsidP="00F50B9D">
      <w:pPr>
        <w:pStyle w:val="NoSpacing"/>
      </w:pPr>
    </w:p>
    <w:p w14:paraId="521BC4F2" w14:textId="71F1D294" w:rsidR="00F50B9D" w:rsidRPr="00F50B9D" w:rsidRDefault="00F50B9D" w:rsidP="00F50B9D">
      <w:pPr>
        <w:pStyle w:val="NoSpacing"/>
        <w:rPr>
          <w:b/>
          <w:bCs/>
        </w:rPr>
      </w:pPr>
      <w:bookmarkStart w:id="12" w:name="_Ref384794612"/>
      <w:bookmarkStart w:id="13" w:name="_Toc386811742"/>
      <w:r w:rsidRPr="00F50B9D">
        <w:rPr>
          <w:b/>
          <w:bCs/>
        </w:rPr>
        <w:t xml:space="preserve">Table </w:t>
      </w:r>
      <w:r w:rsidRPr="00F50B9D">
        <w:rPr>
          <w:b/>
          <w:bCs/>
        </w:rPr>
        <w:fldChar w:fldCharType="begin"/>
      </w:r>
      <w:r w:rsidRPr="00F50B9D">
        <w:rPr>
          <w:b/>
          <w:bCs/>
        </w:rPr>
        <w:instrText xml:space="preserve"> SEQ Table \* ARABIC </w:instrText>
      </w:r>
      <w:r w:rsidRPr="00F50B9D">
        <w:rPr>
          <w:b/>
          <w:bCs/>
        </w:rPr>
        <w:fldChar w:fldCharType="separate"/>
      </w:r>
      <w:r w:rsidR="00064E9D">
        <w:rPr>
          <w:b/>
          <w:bCs/>
          <w:noProof/>
        </w:rPr>
        <w:t>2</w:t>
      </w:r>
      <w:r w:rsidRPr="00F50B9D">
        <w:fldChar w:fldCharType="end"/>
      </w:r>
      <w:bookmarkEnd w:id="12"/>
      <w:r w:rsidRPr="00F50B9D">
        <w:rPr>
          <w:b/>
          <w:bCs/>
        </w:rPr>
        <w:t xml:space="preserve"> Required Data</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F50B9D" w:rsidRPr="00F50B9D" w14:paraId="43ED1E79" w14:textId="77777777" w:rsidTr="0038188F">
        <w:tc>
          <w:tcPr>
            <w:tcW w:w="4788" w:type="dxa"/>
            <w:shd w:val="clear" w:color="auto" w:fill="D9D9D9" w:themeFill="background1" w:themeFillShade="D9"/>
          </w:tcPr>
          <w:p w14:paraId="0E5F5474" w14:textId="77777777" w:rsidR="00F50B9D" w:rsidRPr="0038188F" w:rsidRDefault="00F50B9D" w:rsidP="00F50B9D">
            <w:pPr>
              <w:pStyle w:val="NoSpacing"/>
              <w:rPr>
                <w:b/>
              </w:rPr>
            </w:pPr>
            <w:r w:rsidRPr="0038188F">
              <w:rPr>
                <w:b/>
              </w:rPr>
              <w:t>Required Data</w:t>
            </w:r>
          </w:p>
        </w:tc>
        <w:tc>
          <w:tcPr>
            <w:tcW w:w="4788" w:type="dxa"/>
            <w:shd w:val="clear" w:color="auto" w:fill="D9D9D9" w:themeFill="background1" w:themeFillShade="D9"/>
          </w:tcPr>
          <w:p w14:paraId="7A37A620" w14:textId="77777777" w:rsidR="00F50B9D" w:rsidRPr="0038188F" w:rsidRDefault="00F50B9D" w:rsidP="00F50B9D">
            <w:pPr>
              <w:pStyle w:val="NoSpacing"/>
              <w:rPr>
                <w:b/>
              </w:rPr>
            </w:pPr>
            <w:r w:rsidRPr="0038188F">
              <w:rPr>
                <w:b/>
              </w:rPr>
              <w:t>Eligible Values</w:t>
            </w:r>
          </w:p>
        </w:tc>
      </w:tr>
      <w:tr w:rsidR="00F50B9D" w:rsidRPr="00F50B9D" w14:paraId="5A7A3334" w14:textId="77777777" w:rsidTr="0038188F">
        <w:tc>
          <w:tcPr>
            <w:tcW w:w="4788" w:type="dxa"/>
          </w:tcPr>
          <w:p w14:paraId="7AB6E3BE" w14:textId="77777777" w:rsidR="00F50B9D" w:rsidRPr="00F50B9D" w:rsidRDefault="00F50B9D" w:rsidP="00F50B9D">
            <w:pPr>
              <w:pStyle w:val="NoSpacing"/>
            </w:pPr>
            <w:r w:rsidRPr="00F50B9D">
              <w:t>Actual or proxy building type</w:t>
            </w:r>
          </w:p>
        </w:tc>
        <w:tc>
          <w:tcPr>
            <w:tcW w:w="4788" w:type="dxa"/>
          </w:tcPr>
          <w:p w14:paraId="554BDD6B" w14:textId="77777777" w:rsidR="00F50B9D" w:rsidRPr="00F50B9D" w:rsidRDefault="00F50B9D" w:rsidP="00F50B9D">
            <w:pPr>
              <w:pStyle w:val="NoSpacing"/>
            </w:pPr>
            <w:r w:rsidRPr="00F50B9D">
              <w:t xml:space="preserve">See </w:t>
            </w:r>
            <w:r w:rsidRPr="00F50B9D">
              <w:fldChar w:fldCharType="begin"/>
            </w:r>
            <w:r w:rsidRPr="00F50B9D">
              <w:instrText xml:space="preserve"> REF _Ref384192027 \h  \* MERGEFORMAT </w:instrText>
            </w:r>
            <w:r w:rsidRPr="00F50B9D">
              <w:fldChar w:fldCharType="separate"/>
            </w:r>
            <w:r w:rsidRPr="00F50B9D">
              <w:t>Table 3</w:t>
            </w:r>
            <w:r w:rsidRPr="00F50B9D">
              <w:fldChar w:fldCharType="end"/>
            </w:r>
            <w:r w:rsidRPr="00F50B9D">
              <w:t xml:space="preserve"> building type codes</w:t>
            </w:r>
          </w:p>
        </w:tc>
      </w:tr>
      <w:tr w:rsidR="00F50B9D" w:rsidRPr="00F50B9D" w14:paraId="65879A6E" w14:textId="77777777" w:rsidTr="0038188F">
        <w:tc>
          <w:tcPr>
            <w:tcW w:w="4788" w:type="dxa"/>
          </w:tcPr>
          <w:p w14:paraId="1D0B29DC" w14:textId="77777777" w:rsidR="00F50B9D" w:rsidRPr="00F50B9D" w:rsidRDefault="00F50B9D" w:rsidP="00F50B9D">
            <w:pPr>
              <w:pStyle w:val="NoSpacing"/>
            </w:pPr>
            <w:r w:rsidRPr="00F50B9D">
              <w:t>Unit type</w:t>
            </w:r>
          </w:p>
        </w:tc>
        <w:tc>
          <w:tcPr>
            <w:tcW w:w="4788" w:type="dxa"/>
          </w:tcPr>
          <w:p w14:paraId="505199D7" w14:textId="77777777" w:rsidR="00F50B9D" w:rsidRPr="00F50B9D" w:rsidRDefault="00F50B9D" w:rsidP="00F50B9D">
            <w:pPr>
              <w:pStyle w:val="NoSpacing"/>
            </w:pPr>
            <w:r w:rsidRPr="00F50B9D">
              <w:t>Packaged single zone DX - cooling unit with gas heat, cooling only unit, or heat pump</w:t>
            </w:r>
          </w:p>
        </w:tc>
      </w:tr>
      <w:tr w:rsidR="00F50B9D" w:rsidRPr="00F50B9D" w14:paraId="16EE3C78" w14:textId="77777777" w:rsidTr="0038188F">
        <w:tc>
          <w:tcPr>
            <w:tcW w:w="4788" w:type="dxa"/>
          </w:tcPr>
          <w:p w14:paraId="1E3C5930" w14:textId="77777777" w:rsidR="00F50B9D" w:rsidRPr="00F50B9D" w:rsidRDefault="00F50B9D" w:rsidP="00F50B9D">
            <w:pPr>
              <w:pStyle w:val="NoSpacing"/>
            </w:pPr>
            <w:r w:rsidRPr="00F50B9D">
              <w:t>Nominal cooling capacity</w:t>
            </w:r>
          </w:p>
        </w:tc>
        <w:tc>
          <w:tcPr>
            <w:tcW w:w="4788" w:type="dxa"/>
          </w:tcPr>
          <w:p w14:paraId="0C363725" w14:textId="77777777" w:rsidR="00F50B9D" w:rsidRPr="00F50B9D" w:rsidRDefault="00F50B9D" w:rsidP="00F50B9D">
            <w:pPr>
              <w:pStyle w:val="NoSpacing"/>
            </w:pPr>
            <w:r w:rsidRPr="00F50B9D">
              <w:t>Any</w:t>
            </w:r>
          </w:p>
        </w:tc>
      </w:tr>
      <w:tr w:rsidR="00F50B9D" w:rsidRPr="00F50B9D" w14:paraId="16E79C16" w14:textId="77777777" w:rsidTr="0038188F">
        <w:tc>
          <w:tcPr>
            <w:tcW w:w="4788" w:type="dxa"/>
          </w:tcPr>
          <w:p w14:paraId="4C9279A5" w14:textId="77777777" w:rsidR="00F50B9D" w:rsidRPr="00F50B9D" w:rsidRDefault="00F50B9D" w:rsidP="00F50B9D">
            <w:pPr>
              <w:pStyle w:val="NoSpacing"/>
            </w:pPr>
            <w:r w:rsidRPr="00F50B9D">
              <w:t>As-found minimum ventilation position</w:t>
            </w:r>
          </w:p>
        </w:tc>
        <w:tc>
          <w:tcPr>
            <w:tcW w:w="4788" w:type="dxa"/>
          </w:tcPr>
          <w:p w14:paraId="2A5195AB" w14:textId="77777777" w:rsidR="00F50B9D" w:rsidRPr="00F50B9D" w:rsidRDefault="00F50B9D" w:rsidP="00F50B9D">
            <w:pPr>
              <w:pStyle w:val="NoSpacing"/>
            </w:pPr>
            <w:r w:rsidRPr="00F50B9D">
              <w:t>&gt;0% open</w:t>
            </w:r>
          </w:p>
        </w:tc>
      </w:tr>
      <w:tr w:rsidR="00F50B9D" w:rsidRPr="00F50B9D" w14:paraId="2BFE2573" w14:textId="77777777" w:rsidTr="0038188F">
        <w:tc>
          <w:tcPr>
            <w:tcW w:w="4788" w:type="dxa"/>
          </w:tcPr>
          <w:p w14:paraId="4E5BBF19" w14:textId="77777777" w:rsidR="00F50B9D" w:rsidRPr="00F50B9D" w:rsidRDefault="00F50B9D" w:rsidP="00F50B9D">
            <w:pPr>
              <w:pStyle w:val="NoSpacing"/>
            </w:pPr>
            <w:r w:rsidRPr="00F50B9D">
              <w:t>As-found occupied fan operation</w:t>
            </w:r>
          </w:p>
        </w:tc>
        <w:tc>
          <w:tcPr>
            <w:tcW w:w="4788" w:type="dxa"/>
          </w:tcPr>
          <w:p w14:paraId="30BF0A62" w14:textId="77777777" w:rsidR="00F50B9D" w:rsidRPr="00F50B9D" w:rsidRDefault="00F50B9D" w:rsidP="00F50B9D">
            <w:pPr>
              <w:pStyle w:val="NoSpacing"/>
            </w:pPr>
            <w:r w:rsidRPr="00F50B9D">
              <w:t>Continuous/On</w:t>
            </w:r>
          </w:p>
        </w:tc>
      </w:tr>
      <w:tr w:rsidR="00F50B9D" w:rsidRPr="00F50B9D" w14:paraId="565E4C96" w14:textId="77777777" w:rsidTr="0038188F">
        <w:tc>
          <w:tcPr>
            <w:tcW w:w="4788" w:type="dxa"/>
          </w:tcPr>
          <w:p w14:paraId="4FEF6A11" w14:textId="77777777" w:rsidR="00F50B9D" w:rsidRPr="00F50B9D" w:rsidRDefault="00F50B9D" w:rsidP="00F50B9D">
            <w:pPr>
              <w:pStyle w:val="NoSpacing"/>
            </w:pPr>
            <w:r w:rsidRPr="00F50B9D">
              <w:t>As-left minimum ventilation position</w:t>
            </w:r>
          </w:p>
        </w:tc>
        <w:tc>
          <w:tcPr>
            <w:tcW w:w="4788" w:type="dxa"/>
          </w:tcPr>
          <w:p w14:paraId="2EC4FE58" w14:textId="77777777" w:rsidR="00F50B9D" w:rsidRPr="00F50B9D" w:rsidRDefault="00F50B9D" w:rsidP="00F50B9D">
            <w:pPr>
              <w:pStyle w:val="NoSpacing"/>
            </w:pPr>
            <w:r w:rsidRPr="00F50B9D">
              <w:t>Less than as-found position</w:t>
            </w:r>
          </w:p>
        </w:tc>
      </w:tr>
      <w:tr w:rsidR="00F50B9D" w:rsidRPr="00F50B9D" w14:paraId="222A0A13" w14:textId="77777777" w:rsidTr="0038188F">
        <w:tc>
          <w:tcPr>
            <w:tcW w:w="4788" w:type="dxa"/>
          </w:tcPr>
          <w:p w14:paraId="7AACEF6E" w14:textId="77777777" w:rsidR="00F50B9D" w:rsidRPr="00F50B9D" w:rsidRDefault="00F50B9D" w:rsidP="00F50B9D">
            <w:pPr>
              <w:pStyle w:val="NoSpacing"/>
            </w:pPr>
            <w:r w:rsidRPr="00F50B9D">
              <w:t>Sensor location</w:t>
            </w:r>
          </w:p>
        </w:tc>
        <w:tc>
          <w:tcPr>
            <w:tcW w:w="4788" w:type="dxa"/>
          </w:tcPr>
          <w:p w14:paraId="576A401A" w14:textId="77777777" w:rsidR="00F50B9D" w:rsidRPr="00F50B9D" w:rsidRDefault="00F50B9D" w:rsidP="00F50B9D">
            <w:pPr>
              <w:pStyle w:val="NoSpacing"/>
            </w:pPr>
            <w:r w:rsidRPr="00F50B9D">
              <w:t>Wall in zone or return duct</w:t>
            </w:r>
          </w:p>
        </w:tc>
      </w:tr>
      <w:tr w:rsidR="00F50B9D" w:rsidRPr="00F50B9D" w14:paraId="00885D3A" w14:textId="77777777" w:rsidTr="0038188F">
        <w:tc>
          <w:tcPr>
            <w:tcW w:w="4788" w:type="dxa"/>
          </w:tcPr>
          <w:p w14:paraId="41D15292" w14:textId="77777777" w:rsidR="00F50B9D" w:rsidRPr="00F50B9D" w:rsidRDefault="00F50B9D" w:rsidP="00F50B9D">
            <w:pPr>
              <w:pStyle w:val="NoSpacing"/>
            </w:pPr>
            <w:r w:rsidRPr="00F50B9D">
              <w:t>CO2 concentration high limit</w:t>
            </w:r>
          </w:p>
        </w:tc>
        <w:tc>
          <w:tcPr>
            <w:tcW w:w="4788" w:type="dxa"/>
          </w:tcPr>
          <w:p w14:paraId="16597273" w14:textId="62EC344E" w:rsidR="00F50B9D" w:rsidRPr="00F50B9D" w:rsidRDefault="00F50B9D" w:rsidP="00F50B9D">
            <w:pPr>
              <w:pStyle w:val="NoSpacing"/>
            </w:pPr>
            <w:r w:rsidRPr="00F50B9D">
              <w:t>1</w:t>
            </w:r>
            <w:r w:rsidR="005C6ABF">
              <w:t>,</w:t>
            </w:r>
            <w:r w:rsidRPr="00F50B9D">
              <w:t>000 ppm without direct measurement of outdoor air concentration or dynamically adjusted to 600 ppm above measured outdoor air concentration</w:t>
            </w:r>
          </w:p>
        </w:tc>
      </w:tr>
    </w:tbl>
    <w:p w14:paraId="0A6D3D6F" w14:textId="77777777" w:rsidR="00F50B9D" w:rsidRPr="00F50B9D" w:rsidRDefault="00F50B9D" w:rsidP="00F50B9D">
      <w:pPr>
        <w:pStyle w:val="NoSpacing"/>
      </w:pPr>
    </w:p>
    <w:p w14:paraId="1BDA8A1E" w14:textId="72CDEEE9" w:rsidR="00F50B9D" w:rsidRDefault="00F50B9D" w:rsidP="00F50B9D">
      <w:pPr>
        <w:pStyle w:val="NoSpacing"/>
      </w:pPr>
      <w:r w:rsidRPr="00F50B9D">
        <w:t>Equipment used for the measure must meet the following qualifications for rebate eligibility. The requirements below draw on Title 24 201</w:t>
      </w:r>
      <w:r w:rsidR="005C6ABF">
        <w:t>6</w:t>
      </w:r>
      <w:r w:rsidRPr="00F50B9D">
        <w:t xml:space="preserve"> §120.1(a)4 requirements for DCV, although they deviate slightly in some respects since the application of retrofit controls on a packaged unit is not considered a code-triggering event. One primary deviation from Title 24 201</w:t>
      </w:r>
      <w:r w:rsidR="005C6ABF">
        <w:t>6</w:t>
      </w:r>
      <w:r w:rsidRPr="00F50B9D">
        <w:t xml:space="preserve"> requirements is that a return air duct-mounted CO2 sensor is allowed whereas Title 24 201</w:t>
      </w:r>
      <w:r w:rsidR="005C6ABF">
        <w:t>6</w:t>
      </w:r>
      <w:r w:rsidRPr="00F50B9D">
        <w:t xml:space="preserve"> specifies that the sensor must be mounted in the zone and include a display. This allows for the measure to be installed more easily when site conditions or operational constraints are physically or cost-prohibitive to installation of a sensor in the zone.</w:t>
      </w:r>
    </w:p>
    <w:p w14:paraId="74935263" w14:textId="77777777" w:rsidR="00872777" w:rsidRPr="00F50B9D" w:rsidRDefault="00872777" w:rsidP="00F50B9D">
      <w:pPr>
        <w:pStyle w:val="NoSpacing"/>
      </w:pPr>
    </w:p>
    <w:p w14:paraId="29F1681F" w14:textId="77777777" w:rsidR="00F50B9D" w:rsidRPr="00F50B9D" w:rsidRDefault="00F50B9D" w:rsidP="00F50B9D">
      <w:pPr>
        <w:pStyle w:val="NoSpacing"/>
        <w:numPr>
          <w:ilvl w:val="0"/>
          <w:numId w:val="39"/>
        </w:numPr>
      </w:pPr>
      <w:r w:rsidRPr="00F50B9D">
        <w:t>To be eligible for CO2 sensor-only rebate existing economizer control must be a digital type control and must have the capability to control the damper in response to a CO2 sensor signal.</w:t>
      </w:r>
    </w:p>
    <w:p w14:paraId="2D342679" w14:textId="77777777" w:rsidR="00F50B9D" w:rsidRPr="00F50B9D" w:rsidRDefault="00F50B9D" w:rsidP="00F50B9D">
      <w:pPr>
        <w:pStyle w:val="NoSpacing"/>
        <w:numPr>
          <w:ilvl w:val="0"/>
          <w:numId w:val="39"/>
        </w:numPr>
      </w:pPr>
      <w:r w:rsidRPr="00F50B9D">
        <w:t>To be eligible for ADEC with CO2 sensor rebate a program-qualifying ADEC or Enhanced Ventilation controller must be installed in addition to the CO2 sensor. See bullet above for qualifying ADEC specification.</w:t>
      </w:r>
    </w:p>
    <w:p w14:paraId="44B4AA70" w14:textId="77777777" w:rsidR="00F50B9D" w:rsidRPr="00F50B9D" w:rsidRDefault="00F50B9D" w:rsidP="00F50B9D">
      <w:pPr>
        <w:pStyle w:val="NoSpacing"/>
        <w:numPr>
          <w:ilvl w:val="0"/>
          <w:numId w:val="39"/>
        </w:numPr>
      </w:pPr>
      <w:r w:rsidRPr="00F50B9D">
        <w:t xml:space="preserve">For each system with demand control ventilation, CO2 sensors shall be installed in each room with no less than one sensor per 10,000 ft² of floor space. When a zone or a space is served by more than one sensor, signal from any sensor indicating that CO2 is near or at the setpoint within a space, shall trigger an increase in ventilation to the space. </w:t>
      </w:r>
    </w:p>
    <w:p w14:paraId="61FB6EE7" w14:textId="77777777" w:rsidR="00F50B9D" w:rsidRPr="00F50B9D" w:rsidRDefault="00F50B9D" w:rsidP="00F50B9D">
      <w:pPr>
        <w:pStyle w:val="NoSpacing"/>
        <w:numPr>
          <w:ilvl w:val="0"/>
          <w:numId w:val="39"/>
        </w:numPr>
      </w:pPr>
      <w:r w:rsidRPr="00F50B9D">
        <w:t>Upon detection of sensor failure, the system shall provide a signal which resets to supply the minimum quantity of outside air to the level required if DCV were not installed.</w:t>
      </w:r>
    </w:p>
    <w:p w14:paraId="05DA7EC5" w14:textId="4C95EDBD" w:rsidR="00F50B9D" w:rsidRPr="00F50B9D" w:rsidRDefault="00F50B9D" w:rsidP="00F50B9D">
      <w:pPr>
        <w:pStyle w:val="NoSpacing"/>
        <w:numPr>
          <w:ilvl w:val="0"/>
          <w:numId w:val="39"/>
        </w:numPr>
      </w:pPr>
      <w:r w:rsidRPr="00F50B9D">
        <w:t>CO2 sensors shall be certified by the manufacturer to be accurate within plus or minus 75 ppm at a 600 and 1</w:t>
      </w:r>
      <w:r w:rsidR="00F04448">
        <w:t>,</w:t>
      </w:r>
      <w:r w:rsidRPr="00F50B9D">
        <w:t>000 ppm concentration when measured at sea level and 25°C, factory calibrated, and certified by the manufacturer to require calibration no more frequently than once every 5 years.</w:t>
      </w:r>
    </w:p>
    <w:p w14:paraId="6D41B6C1" w14:textId="21B2D976" w:rsidR="00F50B9D" w:rsidRDefault="00F50B9D" w:rsidP="00F50B9D">
      <w:pPr>
        <w:pStyle w:val="NoSpacing"/>
      </w:pPr>
    </w:p>
    <w:p w14:paraId="654D3DEF" w14:textId="4C2D5F58" w:rsidR="00872777" w:rsidRPr="00872777" w:rsidRDefault="00872777" w:rsidP="00872777">
      <w:pPr>
        <w:rPr>
          <w:rFonts w:eastAsiaTheme="minorHAnsi" w:cstheme="minorBidi"/>
          <w:szCs w:val="22"/>
        </w:rPr>
      </w:pPr>
      <w:r w:rsidRPr="00872777">
        <w:rPr>
          <w:rFonts w:cs="Arial"/>
          <w:b/>
          <w:i/>
          <w:szCs w:val="22"/>
        </w:rPr>
        <w:t xml:space="preserve">Market Applicability: </w:t>
      </w:r>
    </w:p>
    <w:p w14:paraId="0AA28548" w14:textId="77777777" w:rsidR="00872777" w:rsidRDefault="00872777" w:rsidP="00872777">
      <w:pPr>
        <w:pStyle w:val="NoSpacing"/>
      </w:pPr>
      <w:r>
        <w:t xml:space="preserve">This upgrade measure for existing equipment provides a direct install rebate to contractors participating in a utility rebate program. Commercial utility customers are the ultimate consumers of the measure. Contractors may use the rebate in any way they would like, including but not limited to passing through to customer, discounting cost to customer, increasing sales and marketing efforts related to the measure, et cetera. </w:t>
      </w:r>
    </w:p>
    <w:p w14:paraId="17DFDF7E" w14:textId="77777777" w:rsidR="00872777" w:rsidRDefault="00872777" w:rsidP="00872777">
      <w:pPr>
        <w:pStyle w:val="NoSpacing"/>
      </w:pPr>
    </w:p>
    <w:p w14:paraId="028DB16E" w14:textId="77777777" w:rsidR="00872777" w:rsidRDefault="00872777" w:rsidP="00872777">
      <w:pPr>
        <w:pStyle w:val="NoSpacing"/>
      </w:pPr>
      <w:r>
        <w:t>UES values are applicable to any existing commercial utility customer building in any California climate zone and of any vintage. All California utilities may not provide a rebate for the measure, and rebate offerings may vary between those that do. Although some areas or specific customers for which the measure is available could be designated as hard-to-reach, this measure is not assigned a hard-to-reach designation.</w:t>
      </w:r>
    </w:p>
    <w:p w14:paraId="5D74D3D6" w14:textId="6B68F488" w:rsidR="00872777" w:rsidRPr="005C6ABF" w:rsidRDefault="00872777" w:rsidP="00F50B9D">
      <w:pPr>
        <w:pStyle w:val="NoSpacing"/>
      </w:pPr>
    </w:p>
    <w:p w14:paraId="73338195" w14:textId="4B935A9C" w:rsidR="00872777" w:rsidRPr="005C6ABF" w:rsidRDefault="00872777" w:rsidP="00872777">
      <w:pPr>
        <w:rPr>
          <w:szCs w:val="22"/>
        </w:rPr>
      </w:pPr>
      <w:r w:rsidRPr="005C6ABF">
        <w:rPr>
          <w:szCs w:val="22"/>
        </w:rPr>
        <w:t xml:space="preserve">Savings estimation includes simulation of the measure in the specific building type and activity area combinations shown in </w:t>
      </w:r>
      <w:r w:rsidRPr="005C6ABF">
        <w:rPr>
          <w:szCs w:val="22"/>
        </w:rPr>
        <w:fldChar w:fldCharType="begin"/>
      </w:r>
      <w:r w:rsidRPr="005C6ABF">
        <w:rPr>
          <w:szCs w:val="22"/>
        </w:rPr>
        <w:instrText xml:space="preserve"> REF _Ref384192027 \h  \* MERGEFORMAT </w:instrText>
      </w:r>
      <w:r w:rsidRPr="005C6ABF">
        <w:rPr>
          <w:szCs w:val="22"/>
        </w:rPr>
      </w:r>
      <w:r w:rsidRPr="005C6ABF">
        <w:rPr>
          <w:szCs w:val="22"/>
        </w:rPr>
        <w:fldChar w:fldCharType="separate"/>
      </w:r>
      <w:r w:rsidRPr="005C6ABF">
        <w:rPr>
          <w:szCs w:val="22"/>
        </w:rPr>
        <w:t xml:space="preserve">Table </w:t>
      </w:r>
      <w:r w:rsidRPr="005C6ABF">
        <w:rPr>
          <w:noProof/>
          <w:szCs w:val="22"/>
        </w:rPr>
        <w:t>3</w:t>
      </w:r>
      <w:r w:rsidRPr="005C6ABF">
        <w:rPr>
          <w:szCs w:val="22"/>
        </w:rPr>
        <w:fldChar w:fldCharType="end"/>
      </w:r>
      <w:r w:rsidRPr="005C6ABF">
        <w:rPr>
          <w:szCs w:val="22"/>
        </w:rPr>
        <w:t>, however the measure is applicable in any commercial building or activity area within where it reduces the overall amount of outside ventilation air that is supplied to the space. The UES estimates are provided by building type, and include savings for a mix of the activity area types for which the measure results in a reduction in the allowable minimum outside air ventilation required per Title 24 201</w:t>
      </w:r>
      <w:r w:rsidR="005C6ABF" w:rsidRPr="005C6ABF">
        <w:rPr>
          <w:szCs w:val="22"/>
        </w:rPr>
        <w:t>6</w:t>
      </w:r>
      <w:r w:rsidRPr="005C6ABF">
        <w:rPr>
          <w:szCs w:val="22"/>
        </w:rPr>
        <w:t xml:space="preserve"> §120.1</w:t>
      </w:r>
      <w:r w:rsidRPr="005C6ABF">
        <w:rPr>
          <w:szCs w:val="22"/>
          <w:vertAlign w:val="superscript"/>
        </w:rPr>
        <w:endnoteReference w:id="2"/>
      </w:r>
      <w:r w:rsidRPr="005C6ABF">
        <w:rPr>
          <w:szCs w:val="22"/>
        </w:rPr>
        <w:t xml:space="preserve">. The building type that contains activity areas that are closest to the actual application in terms of weekly occupied hours and peak occupant density shown in </w:t>
      </w:r>
      <w:r w:rsidRPr="005C6ABF">
        <w:rPr>
          <w:szCs w:val="22"/>
        </w:rPr>
        <w:fldChar w:fldCharType="begin"/>
      </w:r>
      <w:r w:rsidRPr="005C6ABF">
        <w:rPr>
          <w:szCs w:val="22"/>
        </w:rPr>
        <w:instrText xml:space="preserve"> REF _Ref384192027 \h  \* MERGEFORMAT </w:instrText>
      </w:r>
      <w:r w:rsidRPr="005C6ABF">
        <w:rPr>
          <w:szCs w:val="22"/>
        </w:rPr>
      </w:r>
      <w:r w:rsidRPr="005C6ABF">
        <w:rPr>
          <w:szCs w:val="22"/>
        </w:rPr>
        <w:fldChar w:fldCharType="separate"/>
      </w:r>
      <w:r w:rsidRPr="005C6ABF">
        <w:rPr>
          <w:szCs w:val="22"/>
        </w:rPr>
        <w:t xml:space="preserve">Table </w:t>
      </w:r>
      <w:r w:rsidRPr="005C6ABF">
        <w:rPr>
          <w:noProof/>
          <w:szCs w:val="22"/>
        </w:rPr>
        <w:t>3</w:t>
      </w:r>
      <w:r w:rsidRPr="005C6ABF">
        <w:rPr>
          <w:szCs w:val="22"/>
        </w:rPr>
        <w:fldChar w:fldCharType="end"/>
      </w:r>
      <w:r w:rsidRPr="005C6ABF">
        <w:rPr>
          <w:szCs w:val="22"/>
        </w:rPr>
        <w:t xml:space="preserve"> shall be selected as a proxy for UES estimation. Values in </w:t>
      </w:r>
      <w:r w:rsidRPr="005C6ABF">
        <w:rPr>
          <w:szCs w:val="22"/>
        </w:rPr>
        <w:fldChar w:fldCharType="begin"/>
      </w:r>
      <w:r w:rsidRPr="005C6ABF">
        <w:rPr>
          <w:szCs w:val="22"/>
        </w:rPr>
        <w:instrText xml:space="preserve"> REF _Ref384192027 \h  \* MERGEFORMAT </w:instrText>
      </w:r>
      <w:r w:rsidRPr="005C6ABF">
        <w:rPr>
          <w:szCs w:val="22"/>
        </w:rPr>
      </w:r>
      <w:r w:rsidRPr="005C6ABF">
        <w:rPr>
          <w:szCs w:val="22"/>
        </w:rPr>
        <w:fldChar w:fldCharType="separate"/>
      </w:r>
      <w:r w:rsidRPr="005C6ABF">
        <w:rPr>
          <w:szCs w:val="22"/>
        </w:rPr>
        <w:t xml:space="preserve">Table </w:t>
      </w:r>
      <w:r w:rsidRPr="005C6ABF">
        <w:rPr>
          <w:noProof/>
          <w:szCs w:val="22"/>
        </w:rPr>
        <w:t>3</w:t>
      </w:r>
      <w:r w:rsidRPr="005C6ABF">
        <w:rPr>
          <w:szCs w:val="22"/>
        </w:rPr>
        <w:fldChar w:fldCharType="end"/>
      </w:r>
      <w:r w:rsidRPr="005C6ABF">
        <w:rPr>
          <w:szCs w:val="22"/>
        </w:rPr>
        <w:t xml:space="preserve"> were extracted from default DEER prototype </w:t>
      </w:r>
      <w:r w:rsidRPr="005C6ABF">
        <w:rPr>
          <w:szCs w:val="22"/>
        </w:rPr>
        <w:lastRenderedPageBreak/>
        <w:t xml:space="preserve">data. It is expected that some contractor discretion will be required when selecting proxy building types for building types that are not explicitly included, and the UES values shall not be considered in the decision. Rebates are not dependent on UES values, so there is not a monetary motivation for the contractor to select one building type proxy over another due to it having a higher UES value. </w:t>
      </w:r>
    </w:p>
    <w:p w14:paraId="19FF13F6" w14:textId="77777777" w:rsidR="00872777" w:rsidRPr="005C6ABF" w:rsidRDefault="00872777" w:rsidP="00872777">
      <w:pPr>
        <w:rPr>
          <w:szCs w:val="22"/>
        </w:rPr>
      </w:pPr>
    </w:p>
    <w:p w14:paraId="69AD8E52" w14:textId="72C07FB1" w:rsidR="00872777" w:rsidRPr="005C6ABF" w:rsidRDefault="00872777" w:rsidP="00872777">
      <w:pPr>
        <w:keepNext/>
        <w:jc w:val="center"/>
        <w:rPr>
          <w:b/>
          <w:bCs/>
          <w:szCs w:val="22"/>
        </w:rPr>
      </w:pPr>
      <w:bookmarkStart w:id="14" w:name="_Ref384192027"/>
      <w:bookmarkStart w:id="15" w:name="_Toc386811743"/>
      <w:r w:rsidRPr="005C6ABF">
        <w:rPr>
          <w:b/>
          <w:bCs/>
          <w:szCs w:val="22"/>
        </w:rPr>
        <w:t xml:space="preserve">Table </w:t>
      </w:r>
      <w:r w:rsidRPr="005C6ABF">
        <w:rPr>
          <w:b/>
          <w:bCs/>
          <w:szCs w:val="22"/>
        </w:rPr>
        <w:fldChar w:fldCharType="begin"/>
      </w:r>
      <w:r w:rsidRPr="005C6ABF">
        <w:rPr>
          <w:b/>
          <w:bCs/>
          <w:szCs w:val="22"/>
        </w:rPr>
        <w:instrText xml:space="preserve"> SEQ Table \* ARABIC </w:instrText>
      </w:r>
      <w:r w:rsidRPr="005C6ABF">
        <w:rPr>
          <w:b/>
          <w:bCs/>
          <w:szCs w:val="22"/>
        </w:rPr>
        <w:fldChar w:fldCharType="separate"/>
      </w:r>
      <w:r w:rsidR="00064E9D">
        <w:rPr>
          <w:b/>
          <w:bCs/>
          <w:noProof/>
          <w:szCs w:val="22"/>
        </w:rPr>
        <w:t>3</w:t>
      </w:r>
      <w:r w:rsidRPr="005C6ABF">
        <w:rPr>
          <w:b/>
          <w:bCs/>
          <w:noProof/>
          <w:szCs w:val="22"/>
        </w:rPr>
        <w:fldChar w:fldCharType="end"/>
      </w:r>
      <w:bookmarkEnd w:id="14"/>
      <w:r w:rsidRPr="005C6ABF">
        <w:rPr>
          <w:b/>
          <w:bCs/>
          <w:szCs w:val="22"/>
        </w:rPr>
        <w:t xml:space="preserve"> - Building Types and Activity Area Types Simulated</w:t>
      </w:r>
      <w:bookmarkEnd w:id="15"/>
    </w:p>
    <w:tbl>
      <w:tblPr>
        <w:tblStyle w:val="PGEWorkPaper"/>
        <w:tblW w:w="7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018"/>
        <w:gridCol w:w="1902"/>
        <w:gridCol w:w="1921"/>
      </w:tblGrid>
      <w:tr w:rsidR="00872777" w:rsidRPr="005C6ABF" w14:paraId="3B9CEFE8" w14:textId="77777777" w:rsidTr="00296118">
        <w:trPr>
          <w:cnfStyle w:val="100000000000" w:firstRow="1" w:lastRow="0" w:firstColumn="0" w:lastColumn="0" w:oddVBand="0" w:evenVBand="0" w:oddHBand="0" w:evenHBand="0" w:firstRowFirstColumn="0" w:firstRowLastColumn="0" w:lastRowFirstColumn="0" w:lastRowLastColumn="0"/>
          <w:trHeight w:val="702"/>
          <w:jc w:val="center"/>
        </w:trPr>
        <w:tc>
          <w:tcPr>
            <w:tcW w:w="1096" w:type="dxa"/>
            <w:shd w:val="clear" w:color="auto" w:fill="auto"/>
            <w:noWrap/>
            <w:hideMark/>
          </w:tcPr>
          <w:p w14:paraId="4239C458" w14:textId="77777777" w:rsidR="00872777" w:rsidRPr="005C6ABF" w:rsidRDefault="00872777" w:rsidP="00872777">
            <w:pPr>
              <w:rPr>
                <w:rFonts w:asciiTheme="minorHAnsi" w:hAnsiTheme="minorHAnsi"/>
                <w:color w:val="auto"/>
                <w:sz w:val="22"/>
                <w:szCs w:val="22"/>
              </w:rPr>
            </w:pPr>
            <w:r w:rsidRPr="005C6ABF">
              <w:rPr>
                <w:rFonts w:asciiTheme="minorHAnsi" w:hAnsiTheme="minorHAnsi"/>
                <w:color w:val="auto"/>
                <w:sz w:val="22"/>
                <w:szCs w:val="22"/>
              </w:rPr>
              <w:t>Building Type Code</w:t>
            </w:r>
          </w:p>
        </w:tc>
        <w:tc>
          <w:tcPr>
            <w:tcW w:w="3018" w:type="dxa"/>
            <w:shd w:val="clear" w:color="auto" w:fill="auto"/>
            <w:noWrap/>
            <w:hideMark/>
          </w:tcPr>
          <w:p w14:paraId="3D2E34AB" w14:textId="77777777" w:rsidR="00872777" w:rsidRPr="005C6ABF" w:rsidRDefault="00872777" w:rsidP="00872777">
            <w:pPr>
              <w:rPr>
                <w:rFonts w:asciiTheme="minorHAnsi" w:hAnsiTheme="minorHAnsi"/>
                <w:color w:val="auto"/>
                <w:sz w:val="22"/>
                <w:szCs w:val="22"/>
              </w:rPr>
            </w:pPr>
            <w:r w:rsidRPr="005C6ABF">
              <w:rPr>
                <w:rFonts w:asciiTheme="minorHAnsi" w:hAnsiTheme="minorHAnsi"/>
                <w:color w:val="auto"/>
                <w:sz w:val="22"/>
                <w:szCs w:val="22"/>
              </w:rPr>
              <w:t>Activity Area Type</w:t>
            </w:r>
          </w:p>
        </w:tc>
        <w:tc>
          <w:tcPr>
            <w:tcW w:w="1902" w:type="dxa"/>
            <w:shd w:val="clear" w:color="auto" w:fill="auto"/>
            <w:hideMark/>
          </w:tcPr>
          <w:p w14:paraId="30A74FA6" w14:textId="77777777" w:rsidR="00872777" w:rsidRPr="005C6ABF" w:rsidRDefault="00872777" w:rsidP="00872777">
            <w:pPr>
              <w:rPr>
                <w:rFonts w:asciiTheme="minorHAnsi" w:hAnsiTheme="minorHAnsi"/>
                <w:color w:val="auto"/>
                <w:sz w:val="22"/>
                <w:szCs w:val="22"/>
              </w:rPr>
            </w:pPr>
            <w:r w:rsidRPr="005C6ABF">
              <w:rPr>
                <w:rFonts w:asciiTheme="minorHAnsi" w:hAnsiTheme="minorHAnsi"/>
                <w:color w:val="auto"/>
                <w:sz w:val="22"/>
                <w:szCs w:val="22"/>
              </w:rPr>
              <w:t>Weekly Occupied Hours</w:t>
            </w:r>
          </w:p>
        </w:tc>
        <w:tc>
          <w:tcPr>
            <w:tcW w:w="1921" w:type="dxa"/>
            <w:shd w:val="clear" w:color="auto" w:fill="auto"/>
            <w:hideMark/>
          </w:tcPr>
          <w:p w14:paraId="1DA770BE" w14:textId="77777777" w:rsidR="00872777" w:rsidRPr="005C6ABF" w:rsidRDefault="00872777" w:rsidP="00872777">
            <w:pPr>
              <w:rPr>
                <w:rFonts w:asciiTheme="minorHAnsi" w:hAnsiTheme="minorHAnsi"/>
                <w:color w:val="auto"/>
                <w:sz w:val="22"/>
                <w:szCs w:val="22"/>
              </w:rPr>
            </w:pPr>
            <w:r w:rsidRPr="005C6ABF">
              <w:rPr>
                <w:rFonts w:asciiTheme="minorHAnsi" w:hAnsiTheme="minorHAnsi"/>
                <w:color w:val="auto"/>
                <w:sz w:val="22"/>
                <w:szCs w:val="22"/>
              </w:rPr>
              <w:t>Peak Occupant Density (people per kSF)</w:t>
            </w:r>
          </w:p>
        </w:tc>
      </w:tr>
      <w:tr w:rsidR="00872777" w:rsidRPr="005C6ABF" w14:paraId="5DF7C845"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0EAC6AAE"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Asm</w:t>
            </w:r>
          </w:p>
        </w:tc>
        <w:tc>
          <w:tcPr>
            <w:tcW w:w="3018" w:type="dxa"/>
            <w:shd w:val="clear" w:color="auto" w:fill="auto"/>
            <w:noWrap/>
            <w:hideMark/>
          </w:tcPr>
          <w:p w14:paraId="07854F0F"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Auditorium</w:t>
            </w:r>
          </w:p>
        </w:tc>
        <w:tc>
          <w:tcPr>
            <w:tcW w:w="1902" w:type="dxa"/>
            <w:shd w:val="clear" w:color="auto" w:fill="auto"/>
            <w:hideMark/>
          </w:tcPr>
          <w:p w14:paraId="2036AE9E"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98</w:t>
            </w:r>
          </w:p>
        </w:tc>
        <w:tc>
          <w:tcPr>
            <w:tcW w:w="1921" w:type="dxa"/>
            <w:shd w:val="clear" w:color="auto" w:fill="auto"/>
            <w:hideMark/>
          </w:tcPr>
          <w:p w14:paraId="6CD5B7C4"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95.2</w:t>
            </w:r>
          </w:p>
        </w:tc>
      </w:tr>
      <w:tr w:rsidR="00872777" w:rsidRPr="005C6ABF" w14:paraId="50DB1F4C"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05CAF8D4"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EPr</w:t>
            </w:r>
          </w:p>
        </w:tc>
        <w:tc>
          <w:tcPr>
            <w:tcW w:w="3018" w:type="dxa"/>
            <w:shd w:val="clear" w:color="auto" w:fill="auto"/>
            <w:noWrap/>
            <w:hideMark/>
          </w:tcPr>
          <w:p w14:paraId="56B896DC"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Classroom / Lecture</w:t>
            </w:r>
          </w:p>
        </w:tc>
        <w:tc>
          <w:tcPr>
            <w:tcW w:w="1902" w:type="dxa"/>
            <w:shd w:val="clear" w:color="auto" w:fill="auto"/>
            <w:hideMark/>
          </w:tcPr>
          <w:p w14:paraId="02805875"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69</w:t>
            </w:r>
          </w:p>
        </w:tc>
        <w:tc>
          <w:tcPr>
            <w:tcW w:w="1921" w:type="dxa"/>
            <w:shd w:val="clear" w:color="auto" w:fill="auto"/>
            <w:hideMark/>
          </w:tcPr>
          <w:p w14:paraId="10CE2E83"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33.4</w:t>
            </w:r>
          </w:p>
        </w:tc>
      </w:tr>
      <w:tr w:rsidR="00872777" w:rsidRPr="005C6ABF" w14:paraId="3B4E12B8"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014C90F0"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EPr</w:t>
            </w:r>
          </w:p>
        </w:tc>
        <w:tc>
          <w:tcPr>
            <w:tcW w:w="3018" w:type="dxa"/>
            <w:shd w:val="clear" w:color="auto" w:fill="auto"/>
            <w:noWrap/>
            <w:hideMark/>
          </w:tcPr>
          <w:p w14:paraId="7160F0FF"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Dining Area</w:t>
            </w:r>
          </w:p>
        </w:tc>
        <w:tc>
          <w:tcPr>
            <w:tcW w:w="1902" w:type="dxa"/>
            <w:shd w:val="clear" w:color="auto" w:fill="auto"/>
            <w:hideMark/>
          </w:tcPr>
          <w:p w14:paraId="2F0A4E1D"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15</w:t>
            </w:r>
          </w:p>
        </w:tc>
        <w:tc>
          <w:tcPr>
            <w:tcW w:w="1921" w:type="dxa"/>
            <w:shd w:val="clear" w:color="auto" w:fill="auto"/>
            <w:hideMark/>
          </w:tcPr>
          <w:p w14:paraId="39638E12"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44.5</w:t>
            </w:r>
          </w:p>
        </w:tc>
      </w:tr>
      <w:tr w:rsidR="00872777" w:rsidRPr="005C6ABF" w14:paraId="0962655D"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3D30EFF1"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EPr</w:t>
            </w:r>
          </w:p>
        </w:tc>
        <w:tc>
          <w:tcPr>
            <w:tcW w:w="3018" w:type="dxa"/>
            <w:shd w:val="clear" w:color="auto" w:fill="auto"/>
            <w:noWrap/>
            <w:hideMark/>
          </w:tcPr>
          <w:p w14:paraId="1971B4E3"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Exercising Center / Gym</w:t>
            </w:r>
          </w:p>
        </w:tc>
        <w:tc>
          <w:tcPr>
            <w:tcW w:w="1902" w:type="dxa"/>
            <w:shd w:val="clear" w:color="auto" w:fill="auto"/>
            <w:hideMark/>
          </w:tcPr>
          <w:p w14:paraId="3A35351E"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55</w:t>
            </w:r>
          </w:p>
        </w:tc>
        <w:tc>
          <w:tcPr>
            <w:tcW w:w="1921" w:type="dxa"/>
            <w:shd w:val="clear" w:color="auto" w:fill="auto"/>
            <w:hideMark/>
          </w:tcPr>
          <w:p w14:paraId="264392C5"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13.3</w:t>
            </w:r>
          </w:p>
        </w:tc>
      </w:tr>
      <w:tr w:rsidR="00872777" w:rsidRPr="005C6ABF" w14:paraId="19FDCD6A"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1ED75370"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ERC</w:t>
            </w:r>
          </w:p>
        </w:tc>
        <w:tc>
          <w:tcPr>
            <w:tcW w:w="3018" w:type="dxa"/>
            <w:shd w:val="clear" w:color="auto" w:fill="auto"/>
            <w:noWrap/>
            <w:hideMark/>
          </w:tcPr>
          <w:p w14:paraId="45A8C16F"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Classroom / Lecture</w:t>
            </w:r>
          </w:p>
        </w:tc>
        <w:tc>
          <w:tcPr>
            <w:tcW w:w="1902" w:type="dxa"/>
            <w:shd w:val="clear" w:color="auto" w:fill="auto"/>
            <w:hideMark/>
          </w:tcPr>
          <w:p w14:paraId="76119FAE"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69</w:t>
            </w:r>
          </w:p>
        </w:tc>
        <w:tc>
          <w:tcPr>
            <w:tcW w:w="1921" w:type="dxa"/>
            <w:shd w:val="clear" w:color="auto" w:fill="auto"/>
            <w:hideMark/>
          </w:tcPr>
          <w:p w14:paraId="1D27C6AE"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33.3</w:t>
            </w:r>
          </w:p>
        </w:tc>
      </w:tr>
      <w:tr w:rsidR="00872777" w:rsidRPr="005C6ABF" w14:paraId="11657AE3"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38BE2AEF"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ESe</w:t>
            </w:r>
          </w:p>
        </w:tc>
        <w:tc>
          <w:tcPr>
            <w:tcW w:w="3018" w:type="dxa"/>
            <w:shd w:val="clear" w:color="auto" w:fill="auto"/>
            <w:noWrap/>
            <w:hideMark/>
          </w:tcPr>
          <w:p w14:paraId="7281DAFA"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Classroom / Lecture</w:t>
            </w:r>
          </w:p>
        </w:tc>
        <w:tc>
          <w:tcPr>
            <w:tcW w:w="1902" w:type="dxa"/>
            <w:shd w:val="clear" w:color="auto" w:fill="auto"/>
            <w:hideMark/>
          </w:tcPr>
          <w:p w14:paraId="7ABAA5F3"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69</w:t>
            </w:r>
          </w:p>
        </w:tc>
        <w:tc>
          <w:tcPr>
            <w:tcW w:w="1921" w:type="dxa"/>
            <w:shd w:val="clear" w:color="auto" w:fill="auto"/>
            <w:hideMark/>
          </w:tcPr>
          <w:p w14:paraId="657D424D"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33.3</w:t>
            </w:r>
          </w:p>
        </w:tc>
      </w:tr>
      <w:tr w:rsidR="00872777" w:rsidRPr="005C6ABF" w14:paraId="25BC6029"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7D28140D"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ESe</w:t>
            </w:r>
          </w:p>
        </w:tc>
        <w:tc>
          <w:tcPr>
            <w:tcW w:w="3018" w:type="dxa"/>
            <w:shd w:val="clear" w:color="auto" w:fill="auto"/>
            <w:noWrap/>
            <w:hideMark/>
          </w:tcPr>
          <w:p w14:paraId="059642C4"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Dining Area</w:t>
            </w:r>
          </w:p>
        </w:tc>
        <w:tc>
          <w:tcPr>
            <w:tcW w:w="1902" w:type="dxa"/>
            <w:shd w:val="clear" w:color="auto" w:fill="auto"/>
            <w:hideMark/>
          </w:tcPr>
          <w:p w14:paraId="708C1F69"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59</w:t>
            </w:r>
          </w:p>
        </w:tc>
        <w:tc>
          <w:tcPr>
            <w:tcW w:w="1921" w:type="dxa"/>
            <w:shd w:val="clear" w:color="auto" w:fill="auto"/>
            <w:hideMark/>
          </w:tcPr>
          <w:p w14:paraId="4A9DE08D"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44.5</w:t>
            </w:r>
          </w:p>
        </w:tc>
      </w:tr>
      <w:tr w:rsidR="00872777" w:rsidRPr="005C6ABF" w14:paraId="4FA5C874"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46C1BDB1"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ESe</w:t>
            </w:r>
          </w:p>
        </w:tc>
        <w:tc>
          <w:tcPr>
            <w:tcW w:w="3018" w:type="dxa"/>
            <w:shd w:val="clear" w:color="auto" w:fill="auto"/>
            <w:noWrap/>
            <w:hideMark/>
          </w:tcPr>
          <w:p w14:paraId="1196FD01"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Exercising Center / Gym</w:t>
            </w:r>
          </w:p>
        </w:tc>
        <w:tc>
          <w:tcPr>
            <w:tcW w:w="1902" w:type="dxa"/>
            <w:shd w:val="clear" w:color="auto" w:fill="auto"/>
            <w:hideMark/>
          </w:tcPr>
          <w:p w14:paraId="6874D0B3"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74</w:t>
            </w:r>
          </w:p>
        </w:tc>
        <w:tc>
          <w:tcPr>
            <w:tcW w:w="1921" w:type="dxa"/>
            <w:shd w:val="clear" w:color="auto" w:fill="auto"/>
            <w:hideMark/>
          </w:tcPr>
          <w:p w14:paraId="64774BDA"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13.3</w:t>
            </w:r>
          </w:p>
        </w:tc>
      </w:tr>
      <w:tr w:rsidR="00872777" w:rsidRPr="005C6ABF" w14:paraId="0C7878D2"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2607F750"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ESe</w:t>
            </w:r>
          </w:p>
        </w:tc>
        <w:tc>
          <w:tcPr>
            <w:tcW w:w="3018" w:type="dxa"/>
            <w:shd w:val="clear" w:color="auto" w:fill="auto"/>
            <w:noWrap/>
            <w:hideMark/>
          </w:tcPr>
          <w:p w14:paraId="1AA7847E"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Classroom / Lecture (93%)</w:t>
            </w:r>
          </w:p>
        </w:tc>
        <w:tc>
          <w:tcPr>
            <w:tcW w:w="1902" w:type="dxa"/>
            <w:shd w:val="clear" w:color="auto" w:fill="auto"/>
            <w:hideMark/>
          </w:tcPr>
          <w:p w14:paraId="279293BE"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69</w:t>
            </w:r>
          </w:p>
        </w:tc>
        <w:tc>
          <w:tcPr>
            <w:tcW w:w="1921" w:type="dxa"/>
            <w:shd w:val="clear" w:color="auto" w:fill="auto"/>
            <w:hideMark/>
          </w:tcPr>
          <w:p w14:paraId="3D3A9BD1"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31.5</w:t>
            </w:r>
          </w:p>
        </w:tc>
      </w:tr>
      <w:tr w:rsidR="00872777" w:rsidRPr="005C6ABF" w14:paraId="3DE2C0E4"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04BFC63E"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ESe</w:t>
            </w:r>
          </w:p>
        </w:tc>
        <w:tc>
          <w:tcPr>
            <w:tcW w:w="3018" w:type="dxa"/>
            <w:shd w:val="clear" w:color="auto" w:fill="auto"/>
            <w:noWrap/>
            <w:hideMark/>
          </w:tcPr>
          <w:p w14:paraId="4C24E39B"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Computer (Instruc/PC Lab)</w:t>
            </w:r>
          </w:p>
        </w:tc>
        <w:tc>
          <w:tcPr>
            <w:tcW w:w="1902" w:type="dxa"/>
            <w:shd w:val="clear" w:color="auto" w:fill="auto"/>
            <w:hideMark/>
          </w:tcPr>
          <w:p w14:paraId="3E3C9C28"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69</w:t>
            </w:r>
          </w:p>
        </w:tc>
        <w:tc>
          <w:tcPr>
            <w:tcW w:w="1921" w:type="dxa"/>
            <w:shd w:val="clear" w:color="auto" w:fill="auto"/>
            <w:hideMark/>
          </w:tcPr>
          <w:p w14:paraId="363F851F"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13.0</w:t>
            </w:r>
          </w:p>
        </w:tc>
      </w:tr>
      <w:tr w:rsidR="00872777" w:rsidRPr="005C6ABF" w14:paraId="5BBEA711"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3F0EC15F"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EUn</w:t>
            </w:r>
          </w:p>
        </w:tc>
        <w:tc>
          <w:tcPr>
            <w:tcW w:w="3018" w:type="dxa"/>
            <w:shd w:val="clear" w:color="auto" w:fill="auto"/>
            <w:noWrap/>
            <w:hideMark/>
          </w:tcPr>
          <w:p w14:paraId="341D2B7C"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Classroom / Lecture</w:t>
            </w:r>
          </w:p>
        </w:tc>
        <w:tc>
          <w:tcPr>
            <w:tcW w:w="1902" w:type="dxa"/>
            <w:shd w:val="clear" w:color="auto" w:fill="auto"/>
            <w:hideMark/>
          </w:tcPr>
          <w:p w14:paraId="5E1A02F2"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99</w:t>
            </w:r>
          </w:p>
        </w:tc>
        <w:tc>
          <w:tcPr>
            <w:tcW w:w="1921" w:type="dxa"/>
            <w:shd w:val="clear" w:color="auto" w:fill="auto"/>
            <w:hideMark/>
          </w:tcPr>
          <w:p w14:paraId="26EFE205"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33.3</w:t>
            </w:r>
          </w:p>
        </w:tc>
      </w:tr>
      <w:tr w:rsidR="00872777" w:rsidRPr="005C6ABF" w14:paraId="19EBBF42"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3C1C1B6E"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EUn</w:t>
            </w:r>
          </w:p>
        </w:tc>
        <w:tc>
          <w:tcPr>
            <w:tcW w:w="3018" w:type="dxa"/>
            <w:shd w:val="clear" w:color="auto" w:fill="auto"/>
            <w:noWrap/>
            <w:hideMark/>
          </w:tcPr>
          <w:p w14:paraId="1D552627"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Dining Area</w:t>
            </w:r>
          </w:p>
        </w:tc>
        <w:tc>
          <w:tcPr>
            <w:tcW w:w="1902" w:type="dxa"/>
            <w:shd w:val="clear" w:color="auto" w:fill="auto"/>
            <w:hideMark/>
          </w:tcPr>
          <w:p w14:paraId="66A55BD1"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40</w:t>
            </w:r>
          </w:p>
        </w:tc>
        <w:tc>
          <w:tcPr>
            <w:tcW w:w="1921" w:type="dxa"/>
            <w:shd w:val="clear" w:color="auto" w:fill="auto"/>
            <w:hideMark/>
          </w:tcPr>
          <w:p w14:paraId="70C03CDC"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44.5</w:t>
            </w:r>
          </w:p>
        </w:tc>
      </w:tr>
      <w:tr w:rsidR="00872777" w:rsidRPr="005C6ABF" w14:paraId="19B2B874"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0414F9DB"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EUn</w:t>
            </w:r>
          </w:p>
        </w:tc>
        <w:tc>
          <w:tcPr>
            <w:tcW w:w="3018" w:type="dxa"/>
            <w:shd w:val="clear" w:color="auto" w:fill="auto"/>
            <w:noWrap/>
            <w:hideMark/>
          </w:tcPr>
          <w:p w14:paraId="33C206D9"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Computer (Instruc/PC Lab)</w:t>
            </w:r>
          </w:p>
        </w:tc>
        <w:tc>
          <w:tcPr>
            <w:tcW w:w="1902" w:type="dxa"/>
            <w:shd w:val="clear" w:color="auto" w:fill="auto"/>
            <w:hideMark/>
          </w:tcPr>
          <w:p w14:paraId="358D86D4"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55</w:t>
            </w:r>
          </w:p>
        </w:tc>
        <w:tc>
          <w:tcPr>
            <w:tcW w:w="1921" w:type="dxa"/>
            <w:shd w:val="clear" w:color="auto" w:fill="auto"/>
            <w:hideMark/>
          </w:tcPr>
          <w:p w14:paraId="117A3E3F"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13.3</w:t>
            </w:r>
          </w:p>
        </w:tc>
      </w:tr>
      <w:tr w:rsidR="00872777" w:rsidRPr="005C6ABF" w14:paraId="5E758567"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785AEB24"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GRo</w:t>
            </w:r>
          </w:p>
        </w:tc>
        <w:tc>
          <w:tcPr>
            <w:tcW w:w="3018" w:type="dxa"/>
            <w:shd w:val="clear" w:color="auto" w:fill="auto"/>
            <w:noWrap/>
            <w:hideMark/>
          </w:tcPr>
          <w:p w14:paraId="52FBBC56"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Retail Sales, Grocery</w:t>
            </w:r>
          </w:p>
        </w:tc>
        <w:tc>
          <w:tcPr>
            <w:tcW w:w="1902" w:type="dxa"/>
            <w:shd w:val="clear" w:color="auto" w:fill="auto"/>
            <w:hideMark/>
          </w:tcPr>
          <w:p w14:paraId="1E751D9D"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112</w:t>
            </w:r>
          </w:p>
        </w:tc>
        <w:tc>
          <w:tcPr>
            <w:tcW w:w="1921" w:type="dxa"/>
            <w:shd w:val="clear" w:color="auto" w:fill="auto"/>
            <w:hideMark/>
          </w:tcPr>
          <w:p w14:paraId="0DFDD8DE"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22.2</w:t>
            </w:r>
          </w:p>
        </w:tc>
      </w:tr>
      <w:tr w:rsidR="00872777" w:rsidRPr="005C6ABF" w14:paraId="359E7C10"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5D8BA891"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Hsp</w:t>
            </w:r>
          </w:p>
        </w:tc>
        <w:tc>
          <w:tcPr>
            <w:tcW w:w="3018" w:type="dxa"/>
            <w:shd w:val="clear" w:color="auto" w:fill="auto"/>
            <w:noWrap/>
            <w:hideMark/>
          </w:tcPr>
          <w:p w14:paraId="51CEAEF2"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Dining Area</w:t>
            </w:r>
          </w:p>
        </w:tc>
        <w:tc>
          <w:tcPr>
            <w:tcW w:w="1902" w:type="dxa"/>
            <w:shd w:val="clear" w:color="auto" w:fill="auto"/>
            <w:hideMark/>
          </w:tcPr>
          <w:p w14:paraId="011A65D1"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168</w:t>
            </w:r>
          </w:p>
        </w:tc>
        <w:tc>
          <w:tcPr>
            <w:tcW w:w="1921" w:type="dxa"/>
            <w:shd w:val="clear" w:color="auto" w:fill="auto"/>
            <w:hideMark/>
          </w:tcPr>
          <w:p w14:paraId="6CC0A59D"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44.3</w:t>
            </w:r>
          </w:p>
        </w:tc>
      </w:tr>
      <w:tr w:rsidR="00872777" w:rsidRPr="005C6ABF" w14:paraId="00F4F489"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1C0A32C7"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Hsp</w:t>
            </w:r>
          </w:p>
        </w:tc>
        <w:tc>
          <w:tcPr>
            <w:tcW w:w="3018" w:type="dxa"/>
            <w:shd w:val="clear" w:color="auto" w:fill="auto"/>
            <w:noWrap/>
            <w:hideMark/>
          </w:tcPr>
          <w:p w14:paraId="4E4AC247"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Laboratory, Medical</w:t>
            </w:r>
          </w:p>
        </w:tc>
        <w:tc>
          <w:tcPr>
            <w:tcW w:w="1902" w:type="dxa"/>
            <w:shd w:val="clear" w:color="auto" w:fill="auto"/>
            <w:hideMark/>
          </w:tcPr>
          <w:p w14:paraId="250BEA4C"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168</w:t>
            </w:r>
          </w:p>
        </w:tc>
        <w:tc>
          <w:tcPr>
            <w:tcW w:w="1921" w:type="dxa"/>
            <w:shd w:val="clear" w:color="auto" w:fill="auto"/>
            <w:hideMark/>
          </w:tcPr>
          <w:p w14:paraId="55282A8B"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13.6</w:t>
            </w:r>
          </w:p>
        </w:tc>
      </w:tr>
      <w:tr w:rsidR="00872777" w:rsidRPr="005C6ABF" w14:paraId="0F8588A8"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5055DDAC"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MBT</w:t>
            </w:r>
          </w:p>
        </w:tc>
        <w:tc>
          <w:tcPr>
            <w:tcW w:w="3018" w:type="dxa"/>
            <w:shd w:val="clear" w:color="auto" w:fill="auto"/>
            <w:noWrap/>
            <w:hideMark/>
          </w:tcPr>
          <w:p w14:paraId="0925E847"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Conference Room</w:t>
            </w:r>
          </w:p>
        </w:tc>
        <w:tc>
          <w:tcPr>
            <w:tcW w:w="1902" w:type="dxa"/>
            <w:shd w:val="clear" w:color="auto" w:fill="auto"/>
            <w:hideMark/>
          </w:tcPr>
          <w:p w14:paraId="0E4CB41A"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35</w:t>
            </w:r>
          </w:p>
        </w:tc>
        <w:tc>
          <w:tcPr>
            <w:tcW w:w="1921" w:type="dxa"/>
            <w:shd w:val="clear" w:color="auto" w:fill="auto"/>
            <w:hideMark/>
          </w:tcPr>
          <w:p w14:paraId="2FA607C9"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44.5</w:t>
            </w:r>
          </w:p>
        </w:tc>
      </w:tr>
      <w:tr w:rsidR="00872777" w:rsidRPr="005C6ABF" w14:paraId="5DE551B0"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10D85852"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MBT</w:t>
            </w:r>
          </w:p>
        </w:tc>
        <w:tc>
          <w:tcPr>
            <w:tcW w:w="3018" w:type="dxa"/>
            <w:shd w:val="clear" w:color="auto" w:fill="auto"/>
            <w:noWrap/>
            <w:hideMark/>
          </w:tcPr>
          <w:p w14:paraId="56C0F99C"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Dining</w:t>
            </w:r>
          </w:p>
        </w:tc>
        <w:tc>
          <w:tcPr>
            <w:tcW w:w="1902" w:type="dxa"/>
            <w:shd w:val="clear" w:color="auto" w:fill="auto"/>
            <w:hideMark/>
          </w:tcPr>
          <w:p w14:paraId="4434BBE0"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75</w:t>
            </w:r>
          </w:p>
        </w:tc>
        <w:tc>
          <w:tcPr>
            <w:tcW w:w="1921" w:type="dxa"/>
            <w:shd w:val="clear" w:color="auto" w:fill="auto"/>
            <w:hideMark/>
          </w:tcPr>
          <w:p w14:paraId="361850ED"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44.5</w:t>
            </w:r>
          </w:p>
        </w:tc>
      </w:tr>
      <w:tr w:rsidR="00872777" w:rsidRPr="005C6ABF" w14:paraId="5206749D"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417BB29E"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Nrs</w:t>
            </w:r>
          </w:p>
        </w:tc>
        <w:tc>
          <w:tcPr>
            <w:tcW w:w="3018" w:type="dxa"/>
            <w:shd w:val="clear" w:color="auto" w:fill="auto"/>
            <w:noWrap/>
            <w:hideMark/>
          </w:tcPr>
          <w:p w14:paraId="41801D88"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Dining Area</w:t>
            </w:r>
          </w:p>
        </w:tc>
        <w:tc>
          <w:tcPr>
            <w:tcW w:w="1902" w:type="dxa"/>
            <w:shd w:val="clear" w:color="auto" w:fill="auto"/>
            <w:hideMark/>
          </w:tcPr>
          <w:p w14:paraId="6AF9C4D8"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77</w:t>
            </w:r>
          </w:p>
        </w:tc>
        <w:tc>
          <w:tcPr>
            <w:tcW w:w="1921" w:type="dxa"/>
            <w:shd w:val="clear" w:color="auto" w:fill="auto"/>
            <w:hideMark/>
          </w:tcPr>
          <w:p w14:paraId="0B017587"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44.5</w:t>
            </w:r>
          </w:p>
        </w:tc>
      </w:tr>
      <w:tr w:rsidR="00872777" w:rsidRPr="005C6ABF" w14:paraId="53C6A4D8"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5CB48A31"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OfS</w:t>
            </w:r>
          </w:p>
        </w:tc>
        <w:tc>
          <w:tcPr>
            <w:tcW w:w="3018" w:type="dxa"/>
            <w:shd w:val="clear" w:color="auto" w:fill="auto"/>
            <w:noWrap/>
            <w:hideMark/>
          </w:tcPr>
          <w:p w14:paraId="15266DDE"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Corridor</w:t>
            </w:r>
          </w:p>
        </w:tc>
        <w:tc>
          <w:tcPr>
            <w:tcW w:w="1902" w:type="dxa"/>
            <w:shd w:val="clear" w:color="auto" w:fill="auto"/>
            <w:hideMark/>
          </w:tcPr>
          <w:p w14:paraId="7E519EFC"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65</w:t>
            </w:r>
          </w:p>
        </w:tc>
        <w:tc>
          <w:tcPr>
            <w:tcW w:w="1921" w:type="dxa"/>
            <w:shd w:val="clear" w:color="auto" w:fill="auto"/>
            <w:hideMark/>
          </w:tcPr>
          <w:p w14:paraId="1C4D1260"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10.8</w:t>
            </w:r>
          </w:p>
        </w:tc>
      </w:tr>
      <w:tr w:rsidR="00872777" w:rsidRPr="005C6ABF" w14:paraId="19242EB7"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06AEE69D"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RFF</w:t>
            </w:r>
          </w:p>
        </w:tc>
        <w:tc>
          <w:tcPr>
            <w:tcW w:w="3018" w:type="dxa"/>
            <w:shd w:val="clear" w:color="auto" w:fill="auto"/>
            <w:noWrap/>
            <w:hideMark/>
          </w:tcPr>
          <w:p w14:paraId="7ED1B6F9"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Dining Area</w:t>
            </w:r>
          </w:p>
        </w:tc>
        <w:tc>
          <w:tcPr>
            <w:tcW w:w="1902" w:type="dxa"/>
            <w:shd w:val="clear" w:color="auto" w:fill="auto"/>
            <w:hideMark/>
          </w:tcPr>
          <w:p w14:paraId="4E657986"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133</w:t>
            </w:r>
          </w:p>
        </w:tc>
        <w:tc>
          <w:tcPr>
            <w:tcW w:w="1921" w:type="dxa"/>
            <w:shd w:val="clear" w:color="auto" w:fill="auto"/>
            <w:hideMark/>
          </w:tcPr>
          <w:p w14:paraId="25F3E851"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43.8</w:t>
            </w:r>
          </w:p>
        </w:tc>
      </w:tr>
      <w:tr w:rsidR="00872777" w:rsidRPr="005C6ABF" w14:paraId="7EC95A1E"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1C20DA4E"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RFF</w:t>
            </w:r>
          </w:p>
        </w:tc>
        <w:tc>
          <w:tcPr>
            <w:tcW w:w="3018" w:type="dxa"/>
            <w:shd w:val="clear" w:color="auto" w:fill="auto"/>
            <w:noWrap/>
            <w:hideMark/>
          </w:tcPr>
          <w:p w14:paraId="3363A22D"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Lobby (Main Entry/Assem)</w:t>
            </w:r>
          </w:p>
        </w:tc>
        <w:tc>
          <w:tcPr>
            <w:tcW w:w="1902" w:type="dxa"/>
            <w:shd w:val="clear" w:color="auto" w:fill="auto"/>
            <w:hideMark/>
          </w:tcPr>
          <w:p w14:paraId="105168E6"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133</w:t>
            </w:r>
          </w:p>
        </w:tc>
        <w:tc>
          <w:tcPr>
            <w:tcW w:w="1921" w:type="dxa"/>
            <w:shd w:val="clear" w:color="auto" w:fill="auto"/>
            <w:hideMark/>
          </w:tcPr>
          <w:p w14:paraId="1E31FD26"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96.7</w:t>
            </w:r>
          </w:p>
        </w:tc>
      </w:tr>
      <w:tr w:rsidR="00872777" w:rsidRPr="005C6ABF" w14:paraId="3F4398E1"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0D931D66"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RFF</w:t>
            </w:r>
          </w:p>
        </w:tc>
        <w:tc>
          <w:tcPr>
            <w:tcW w:w="3018" w:type="dxa"/>
            <w:shd w:val="clear" w:color="auto" w:fill="auto"/>
            <w:noWrap/>
            <w:hideMark/>
          </w:tcPr>
          <w:p w14:paraId="5FDB8621"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Restrooms</w:t>
            </w:r>
          </w:p>
        </w:tc>
        <w:tc>
          <w:tcPr>
            <w:tcW w:w="1902" w:type="dxa"/>
            <w:shd w:val="clear" w:color="auto" w:fill="auto"/>
            <w:hideMark/>
          </w:tcPr>
          <w:p w14:paraId="03B5830C"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133</w:t>
            </w:r>
          </w:p>
        </w:tc>
        <w:tc>
          <w:tcPr>
            <w:tcW w:w="1921" w:type="dxa"/>
            <w:shd w:val="clear" w:color="auto" w:fill="auto"/>
            <w:hideMark/>
          </w:tcPr>
          <w:p w14:paraId="65711BC7"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20.0</w:t>
            </w:r>
          </w:p>
        </w:tc>
      </w:tr>
      <w:tr w:rsidR="00872777" w:rsidRPr="005C6ABF" w14:paraId="16F3AD57"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1F4CC5AF"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RSD</w:t>
            </w:r>
          </w:p>
        </w:tc>
        <w:tc>
          <w:tcPr>
            <w:tcW w:w="3018" w:type="dxa"/>
            <w:shd w:val="clear" w:color="auto" w:fill="auto"/>
            <w:noWrap/>
            <w:hideMark/>
          </w:tcPr>
          <w:p w14:paraId="5F488B29"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Dining Area</w:t>
            </w:r>
          </w:p>
        </w:tc>
        <w:tc>
          <w:tcPr>
            <w:tcW w:w="1902" w:type="dxa"/>
            <w:shd w:val="clear" w:color="auto" w:fill="auto"/>
            <w:hideMark/>
          </w:tcPr>
          <w:p w14:paraId="7D0F93C2"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112</w:t>
            </w:r>
          </w:p>
        </w:tc>
        <w:tc>
          <w:tcPr>
            <w:tcW w:w="1921" w:type="dxa"/>
            <w:shd w:val="clear" w:color="auto" w:fill="auto"/>
            <w:hideMark/>
          </w:tcPr>
          <w:p w14:paraId="59A480F2"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44.3</w:t>
            </w:r>
          </w:p>
        </w:tc>
      </w:tr>
      <w:tr w:rsidR="00872777" w:rsidRPr="005C6ABF" w14:paraId="12031939"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1D4DABE3"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RSD</w:t>
            </w:r>
          </w:p>
        </w:tc>
        <w:tc>
          <w:tcPr>
            <w:tcW w:w="3018" w:type="dxa"/>
            <w:shd w:val="clear" w:color="auto" w:fill="auto"/>
            <w:noWrap/>
            <w:hideMark/>
          </w:tcPr>
          <w:p w14:paraId="47C7EFAB"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Lobby (Main Entry / Assem)</w:t>
            </w:r>
          </w:p>
        </w:tc>
        <w:tc>
          <w:tcPr>
            <w:tcW w:w="1902" w:type="dxa"/>
            <w:shd w:val="clear" w:color="auto" w:fill="auto"/>
            <w:hideMark/>
          </w:tcPr>
          <w:p w14:paraId="5C42428B"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112</w:t>
            </w:r>
          </w:p>
        </w:tc>
        <w:tc>
          <w:tcPr>
            <w:tcW w:w="1921" w:type="dxa"/>
            <w:shd w:val="clear" w:color="auto" w:fill="auto"/>
            <w:hideMark/>
          </w:tcPr>
          <w:p w14:paraId="74FFBD03"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94.9</w:t>
            </w:r>
          </w:p>
        </w:tc>
      </w:tr>
      <w:tr w:rsidR="00872777" w:rsidRPr="005C6ABF" w14:paraId="0DDF3204"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1BEB605F"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RSD</w:t>
            </w:r>
          </w:p>
        </w:tc>
        <w:tc>
          <w:tcPr>
            <w:tcW w:w="3018" w:type="dxa"/>
            <w:shd w:val="clear" w:color="auto" w:fill="auto"/>
            <w:noWrap/>
            <w:hideMark/>
          </w:tcPr>
          <w:p w14:paraId="2FDCECFC"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Restrooms</w:t>
            </w:r>
          </w:p>
        </w:tc>
        <w:tc>
          <w:tcPr>
            <w:tcW w:w="1902" w:type="dxa"/>
            <w:shd w:val="clear" w:color="auto" w:fill="auto"/>
            <w:hideMark/>
          </w:tcPr>
          <w:p w14:paraId="497C5C88"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112</w:t>
            </w:r>
          </w:p>
        </w:tc>
        <w:tc>
          <w:tcPr>
            <w:tcW w:w="1921" w:type="dxa"/>
            <w:shd w:val="clear" w:color="auto" w:fill="auto"/>
            <w:hideMark/>
          </w:tcPr>
          <w:p w14:paraId="42F6B735"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20.0</w:t>
            </w:r>
          </w:p>
        </w:tc>
      </w:tr>
      <w:tr w:rsidR="00872777" w:rsidRPr="005C6ABF" w14:paraId="1DCB6E60"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468E7B0D"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Rt3</w:t>
            </w:r>
          </w:p>
        </w:tc>
        <w:tc>
          <w:tcPr>
            <w:tcW w:w="3018" w:type="dxa"/>
            <w:shd w:val="clear" w:color="auto" w:fill="auto"/>
            <w:noWrap/>
            <w:hideMark/>
          </w:tcPr>
          <w:p w14:paraId="63137305"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Retail / Wholesale Showrm</w:t>
            </w:r>
          </w:p>
        </w:tc>
        <w:tc>
          <w:tcPr>
            <w:tcW w:w="1902" w:type="dxa"/>
            <w:shd w:val="clear" w:color="auto" w:fill="auto"/>
            <w:hideMark/>
          </w:tcPr>
          <w:p w14:paraId="7C3063B9"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94</w:t>
            </w:r>
          </w:p>
        </w:tc>
        <w:tc>
          <w:tcPr>
            <w:tcW w:w="1921" w:type="dxa"/>
            <w:shd w:val="clear" w:color="auto" w:fill="auto"/>
            <w:hideMark/>
          </w:tcPr>
          <w:p w14:paraId="676EB966"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19.4</w:t>
            </w:r>
          </w:p>
        </w:tc>
      </w:tr>
      <w:tr w:rsidR="00872777" w:rsidRPr="005C6ABF" w14:paraId="01A4E7F2" w14:textId="77777777" w:rsidTr="00296118">
        <w:trPr>
          <w:cnfStyle w:val="000000010000" w:firstRow="0" w:lastRow="0" w:firstColumn="0" w:lastColumn="0" w:oddVBand="0" w:evenVBand="0" w:oddHBand="0" w:evenHBand="1" w:firstRowFirstColumn="0" w:firstRowLastColumn="0" w:lastRowFirstColumn="0" w:lastRowLastColumn="0"/>
          <w:trHeight w:val="330"/>
          <w:jc w:val="center"/>
        </w:trPr>
        <w:tc>
          <w:tcPr>
            <w:tcW w:w="1096" w:type="dxa"/>
            <w:shd w:val="clear" w:color="auto" w:fill="auto"/>
            <w:noWrap/>
            <w:hideMark/>
          </w:tcPr>
          <w:p w14:paraId="20561711"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RtL</w:t>
            </w:r>
          </w:p>
        </w:tc>
        <w:tc>
          <w:tcPr>
            <w:tcW w:w="3018" w:type="dxa"/>
            <w:shd w:val="clear" w:color="auto" w:fill="auto"/>
            <w:noWrap/>
            <w:hideMark/>
          </w:tcPr>
          <w:p w14:paraId="21BFB7E0"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Retail / Wholesale Showrm</w:t>
            </w:r>
          </w:p>
        </w:tc>
        <w:tc>
          <w:tcPr>
            <w:tcW w:w="1902" w:type="dxa"/>
            <w:shd w:val="clear" w:color="auto" w:fill="auto"/>
            <w:hideMark/>
          </w:tcPr>
          <w:p w14:paraId="52FDD7E7"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98</w:t>
            </w:r>
          </w:p>
        </w:tc>
        <w:tc>
          <w:tcPr>
            <w:tcW w:w="1921" w:type="dxa"/>
            <w:shd w:val="clear" w:color="auto" w:fill="auto"/>
            <w:hideMark/>
          </w:tcPr>
          <w:p w14:paraId="6F50965A"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22.2</w:t>
            </w:r>
          </w:p>
        </w:tc>
      </w:tr>
      <w:tr w:rsidR="00872777" w:rsidRPr="005C6ABF" w14:paraId="1917319A" w14:textId="77777777" w:rsidTr="00296118">
        <w:trPr>
          <w:cnfStyle w:val="000000100000" w:firstRow="0" w:lastRow="0" w:firstColumn="0" w:lastColumn="0" w:oddVBand="0" w:evenVBand="0" w:oddHBand="1" w:evenHBand="0" w:firstRowFirstColumn="0" w:firstRowLastColumn="0" w:lastRowFirstColumn="0" w:lastRowLastColumn="0"/>
          <w:trHeight w:val="330"/>
          <w:jc w:val="center"/>
        </w:trPr>
        <w:tc>
          <w:tcPr>
            <w:tcW w:w="1096" w:type="dxa"/>
            <w:shd w:val="clear" w:color="auto" w:fill="auto"/>
            <w:noWrap/>
            <w:hideMark/>
          </w:tcPr>
          <w:p w14:paraId="2E62DC19"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RtS</w:t>
            </w:r>
          </w:p>
        </w:tc>
        <w:tc>
          <w:tcPr>
            <w:tcW w:w="3018" w:type="dxa"/>
            <w:shd w:val="clear" w:color="auto" w:fill="auto"/>
            <w:noWrap/>
            <w:hideMark/>
          </w:tcPr>
          <w:p w14:paraId="21A272DE" w14:textId="77777777" w:rsidR="00872777" w:rsidRPr="005C6ABF" w:rsidRDefault="00872777" w:rsidP="00872777">
            <w:pPr>
              <w:rPr>
                <w:rFonts w:asciiTheme="minorHAnsi" w:hAnsiTheme="minorHAnsi"/>
                <w:sz w:val="22"/>
                <w:szCs w:val="22"/>
              </w:rPr>
            </w:pPr>
            <w:r w:rsidRPr="005C6ABF">
              <w:rPr>
                <w:rFonts w:asciiTheme="minorHAnsi" w:hAnsiTheme="minorHAnsi"/>
                <w:sz w:val="22"/>
                <w:szCs w:val="22"/>
              </w:rPr>
              <w:t>Retail / Wholesale Showrm</w:t>
            </w:r>
          </w:p>
        </w:tc>
        <w:tc>
          <w:tcPr>
            <w:tcW w:w="1902" w:type="dxa"/>
            <w:shd w:val="clear" w:color="auto" w:fill="auto"/>
            <w:hideMark/>
          </w:tcPr>
          <w:p w14:paraId="701D6E13"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88</w:t>
            </w:r>
          </w:p>
        </w:tc>
        <w:tc>
          <w:tcPr>
            <w:tcW w:w="1921" w:type="dxa"/>
            <w:shd w:val="clear" w:color="auto" w:fill="auto"/>
            <w:hideMark/>
          </w:tcPr>
          <w:p w14:paraId="3414B2AC" w14:textId="77777777" w:rsidR="00872777" w:rsidRPr="005C6ABF" w:rsidRDefault="00872777" w:rsidP="00872777">
            <w:pPr>
              <w:rPr>
                <w:rFonts w:asciiTheme="minorHAnsi" w:hAnsiTheme="minorHAnsi" w:cs="Arial"/>
                <w:sz w:val="22"/>
                <w:szCs w:val="22"/>
              </w:rPr>
            </w:pPr>
            <w:r w:rsidRPr="005C6ABF">
              <w:rPr>
                <w:rFonts w:asciiTheme="minorHAnsi" w:hAnsiTheme="minorHAnsi" w:cs="Arial"/>
                <w:sz w:val="22"/>
                <w:szCs w:val="22"/>
              </w:rPr>
              <w:t>22.2</w:t>
            </w:r>
          </w:p>
        </w:tc>
      </w:tr>
    </w:tbl>
    <w:p w14:paraId="29D68E81" w14:textId="77777777" w:rsidR="00872777" w:rsidRPr="005C6ABF" w:rsidRDefault="00872777" w:rsidP="00872777">
      <w:pPr>
        <w:rPr>
          <w:rFonts w:cs="Arial"/>
          <w:b/>
          <w:i/>
          <w:szCs w:val="22"/>
        </w:rPr>
      </w:pPr>
    </w:p>
    <w:p w14:paraId="3479F9EC" w14:textId="77777777" w:rsidR="00872777" w:rsidRPr="005C6ABF" w:rsidRDefault="00872777" w:rsidP="00F50B9D">
      <w:pPr>
        <w:pStyle w:val="NoSpacing"/>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4AF77E2" w14:textId="6F07F02E" w:rsidR="00605454" w:rsidRDefault="00605454" w:rsidP="00605454">
      <w:pPr>
        <w:pStyle w:val="Reminders"/>
        <w:tabs>
          <w:tab w:val="num" w:pos="360"/>
        </w:tabs>
        <w:rPr>
          <w:rFonts w:asciiTheme="minorHAnsi" w:hAnsiTheme="minorHAnsi" w:cstheme="minorHAnsi"/>
          <w:i w:val="0"/>
          <w:color w:val="auto"/>
          <w:szCs w:val="22"/>
        </w:rPr>
      </w:pPr>
      <w:r w:rsidRPr="00605454">
        <w:rPr>
          <w:rFonts w:asciiTheme="minorHAnsi" w:hAnsiTheme="minorHAnsi" w:cstheme="minorHAnsi"/>
          <w:i w:val="0"/>
          <w:color w:val="auto"/>
          <w:szCs w:val="22"/>
        </w:rPr>
        <w:t>Constant volume single zone packaged HVAC systems provide a fixed amount of outside air ventilation to a space, with the exception of systems with airside economizers which are intended to provide up to 100% outside air for cooling when outside air conditions permit. When not economizing, most systems that do have economizers provide a fixed minimum amount of outside air. For systems that do not have the ability to adjust ventilation in response to occupancy, Title 24 201</w:t>
      </w:r>
      <w:r w:rsidR="00F04448">
        <w:rPr>
          <w:rFonts w:asciiTheme="minorHAnsi" w:hAnsiTheme="minorHAnsi" w:cstheme="minorHAnsi"/>
          <w:i w:val="0"/>
          <w:color w:val="auto"/>
          <w:szCs w:val="22"/>
        </w:rPr>
        <w:t>6</w:t>
      </w:r>
      <w:r w:rsidRPr="00605454">
        <w:rPr>
          <w:rFonts w:asciiTheme="minorHAnsi" w:hAnsiTheme="minorHAnsi" w:cstheme="minorHAnsi"/>
          <w:i w:val="0"/>
          <w:color w:val="auto"/>
          <w:szCs w:val="22"/>
        </w:rPr>
        <w:t xml:space="preserve"> requires the minimum outside air to be determined based on the greater of: </w:t>
      </w:r>
    </w:p>
    <w:p w14:paraId="16009833" w14:textId="77777777" w:rsidR="00605454" w:rsidRPr="00605454" w:rsidRDefault="00605454" w:rsidP="00605454">
      <w:pPr>
        <w:pStyle w:val="Reminders"/>
        <w:tabs>
          <w:tab w:val="num" w:pos="360"/>
        </w:tabs>
        <w:rPr>
          <w:rFonts w:asciiTheme="minorHAnsi" w:hAnsiTheme="minorHAnsi" w:cstheme="minorHAnsi"/>
          <w:i w:val="0"/>
          <w:color w:val="auto"/>
          <w:szCs w:val="22"/>
        </w:rPr>
      </w:pPr>
    </w:p>
    <w:p w14:paraId="2A96DF29" w14:textId="1E9608ED" w:rsidR="00605454" w:rsidRPr="00605454" w:rsidRDefault="00605454" w:rsidP="00605454">
      <w:pPr>
        <w:pStyle w:val="Reminders"/>
        <w:tabs>
          <w:tab w:val="num" w:pos="360"/>
          <w:tab w:val="left" w:pos="1170"/>
        </w:tabs>
        <w:ind w:left="720"/>
        <w:rPr>
          <w:rFonts w:asciiTheme="minorHAnsi" w:hAnsiTheme="minorHAnsi" w:cstheme="minorHAnsi"/>
          <w:i w:val="0"/>
          <w:color w:val="auto"/>
          <w:szCs w:val="22"/>
        </w:rPr>
      </w:pPr>
      <w:r w:rsidRPr="00605454">
        <w:rPr>
          <w:rFonts w:asciiTheme="minorHAnsi" w:hAnsiTheme="minorHAnsi" w:cstheme="minorHAnsi"/>
          <w:i w:val="0"/>
          <w:color w:val="auto"/>
          <w:szCs w:val="22"/>
        </w:rPr>
        <w:t>1.</w:t>
      </w:r>
      <w:r w:rsidRPr="00605454">
        <w:rPr>
          <w:rFonts w:asciiTheme="minorHAnsi" w:hAnsiTheme="minorHAnsi" w:cstheme="minorHAnsi"/>
          <w:i w:val="0"/>
          <w:color w:val="auto"/>
          <w:szCs w:val="22"/>
        </w:rPr>
        <w:tab/>
        <w:t>The floor area-dependent ventilation rate required by Title 24 Table 120.1-A (CFM/sq. ft.)</w:t>
      </w:r>
    </w:p>
    <w:p w14:paraId="78FBFB5D" w14:textId="7CE13B71" w:rsidR="00605454" w:rsidRPr="00605454" w:rsidRDefault="00605454" w:rsidP="00605454">
      <w:pPr>
        <w:pStyle w:val="Reminders"/>
        <w:tabs>
          <w:tab w:val="num" w:pos="360"/>
          <w:tab w:val="left" w:pos="1170"/>
        </w:tabs>
        <w:ind w:left="720"/>
        <w:rPr>
          <w:rFonts w:asciiTheme="minorHAnsi" w:hAnsiTheme="minorHAnsi" w:cstheme="minorHAnsi"/>
          <w:i w:val="0"/>
          <w:color w:val="auto"/>
          <w:szCs w:val="22"/>
        </w:rPr>
      </w:pPr>
      <w:r w:rsidRPr="00605454">
        <w:rPr>
          <w:rFonts w:asciiTheme="minorHAnsi" w:hAnsiTheme="minorHAnsi" w:cstheme="minorHAnsi"/>
          <w:i w:val="0"/>
          <w:color w:val="auto"/>
          <w:szCs w:val="22"/>
        </w:rPr>
        <w:t>2.</w:t>
      </w:r>
      <w:r w:rsidRPr="00605454">
        <w:rPr>
          <w:rFonts w:asciiTheme="minorHAnsi" w:hAnsiTheme="minorHAnsi" w:cstheme="minorHAnsi"/>
          <w:i w:val="0"/>
          <w:color w:val="auto"/>
          <w:szCs w:val="22"/>
        </w:rPr>
        <w:tab/>
        <w:t>15 CFM per person using peak design occupancy for the space per Title 24 §120.1(b)2</w:t>
      </w:r>
    </w:p>
    <w:p w14:paraId="75E705F5" w14:textId="77777777" w:rsidR="00605454" w:rsidRPr="00605454" w:rsidRDefault="00605454" w:rsidP="00605454">
      <w:pPr>
        <w:pStyle w:val="Reminders"/>
        <w:tabs>
          <w:tab w:val="num" w:pos="360"/>
        </w:tabs>
        <w:rPr>
          <w:rFonts w:asciiTheme="minorHAnsi" w:hAnsiTheme="minorHAnsi" w:cstheme="minorHAnsi"/>
          <w:i w:val="0"/>
          <w:color w:val="auto"/>
          <w:szCs w:val="22"/>
        </w:rPr>
      </w:pPr>
    </w:p>
    <w:p w14:paraId="3ADC8CDA" w14:textId="021E6B33" w:rsidR="00605454" w:rsidRPr="00605454" w:rsidRDefault="00605454" w:rsidP="00605454">
      <w:pPr>
        <w:pStyle w:val="Reminders"/>
        <w:tabs>
          <w:tab w:val="num" w:pos="360"/>
        </w:tabs>
        <w:rPr>
          <w:rFonts w:asciiTheme="minorHAnsi" w:hAnsiTheme="minorHAnsi" w:cstheme="minorHAnsi"/>
          <w:i w:val="0"/>
          <w:color w:val="auto"/>
          <w:szCs w:val="22"/>
        </w:rPr>
      </w:pPr>
      <w:r w:rsidRPr="00605454">
        <w:rPr>
          <w:rFonts w:asciiTheme="minorHAnsi" w:hAnsiTheme="minorHAnsi" w:cstheme="minorHAnsi"/>
          <w:i w:val="0"/>
          <w:color w:val="auto"/>
          <w:szCs w:val="22"/>
        </w:rPr>
        <w:t xml:space="preserve">This requirement results in a safe and healthy level of ventilation being supplied to the space during times of peak occupancy but may result in over-ventilation during times when the space has fewer occupants. When the occupant-dependent rate is greater than the floor-area dependent rate, DCV may be used to reduce the minimum amount of ventilation that must be supplied to the space. DCV allows the system to provide additional ventilation up to the occupant-dependent rate only when necessary for periods of high occupancy. </w:t>
      </w:r>
    </w:p>
    <w:p w14:paraId="3A1462FC" w14:textId="77777777" w:rsidR="00605454" w:rsidRPr="00605454" w:rsidRDefault="00605454" w:rsidP="00605454">
      <w:pPr>
        <w:pStyle w:val="Reminders"/>
        <w:tabs>
          <w:tab w:val="num" w:pos="360"/>
        </w:tabs>
        <w:rPr>
          <w:rFonts w:asciiTheme="minorHAnsi" w:hAnsiTheme="minorHAnsi" w:cstheme="minorHAnsi"/>
          <w:i w:val="0"/>
          <w:color w:val="auto"/>
          <w:szCs w:val="22"/>
        </w:rPr>
      </w:pPr>
    </w:p>
    <w:p w14:paraId="3B262494" w14:textId="77777777" w:rsidR="00605454" w:rsidRPr="00605454" w:rsidRDefault="00605454" w:rsidP="00605454">
      <w:pPr>
        <w:pStyle w:val="Reminders"/>
        <w:tabs>
          <w:tab w:val="num" w:pos="360"/>
        </w:tabs>
        <w:rPr>
          <w:rFonts w:asciiTheme="minorHAnsi" w:hAnsiTheme="minorHAnsi" w:cstheme="minorHAnsi"/>
          <w:i w:val="0"/>
          <w:color w:val="auto"/>
          <w:szCs w:val="22"/>
        </w:rPr>
      </w:pPr>
      <w:r w:rsidRPr="00605454">
        <w:rPr>
          <w:rFonts w:asciiTheme="minorHAnsi" w:hAnsiTheme="minorHAnsi" w:cstheme="minorHAnsi"/>
          <w:i w:val="0"/>
          <w:color w:val="auto"/>
          <w:szCs w:val="22"/>
        </w:rPr>
        <w:t xml:space="preserve">The particular application of DCV covered by this work paper operates an existing economizer outside air damper based on measured CO2 concentration in the space or return duct, which serves as a proxy for the occupant density in the space. Other applications may use occupancy sensors, other types of gas concentration sensors, or other means to vary outside air damper position and/or total supply air and outside air flow rates. These other applications are outside the scope of this work paper. </w:t>
      </w:r>
    </w:p>
    <w:p w14:paraId="41562319" w14:textId="77777777" w:rsidR="00605454" w:rsidRPr="00605454" w:rsidRDefault="00605454" w:rsidP="00605454">
      <w:pPr>
        <w:pStyle w:val="Reminders"/>
        <w:tabs>
          <w:tab w:val="num" w:pos="360"/>
        </w:tabs>
        <w:rPr>
          <w:rFonts w:asciiTheme="minorHAnsi" w:hAnsiTheme="minorHAnsi" w:cstheme="minorHAnsi"/>
          <w:i w:val="0"/>
          <w:color w:val="auto"/>
          <w:szCs w:val="22"/>
        </w:rPr>
      </w:pPr>
    </w:p>
    <w:p w14:paraId="6AE914F6" w14:textId="208D4E0D" w:rsidR="00F466C7" w:rsidRPr="00605454" w:rsidRDefault="00605454" w:rsidP="00605454">
      <w:pPr>
        <w:pStyle w:val="Reminders"/>
        <w:tabs>
          <w:tab w:val="num" w:pos="360"/>
        </w:tabs>
        <w:rPr>
          <w:rFonts w:asciiTheme="minorHAnsi" w:hAnsiTheme="minorHAnsi" w:cstheme="minorHAnsi"/>
          <w:i w:val="0"/>
          <w:color w:val="auto"/>
          <w:szCs w:val="22"/>
        </w:rPr>
      </w:pPr>
      <w:r w:rsidRPr="00605454">
        <w:rPr>
          <w:rFonts w:asciiTheme="minorHAnsi" w:hAnsiTheme="minorHAnsi" w:cstheme="minorHAnsi"/>
          <w:i w:val="0"/>
          <w:color w:val="auto"/>
          <w:szCs w:val="22"/>
        </w:rPr>
        <w:t>Implementation of DCV in this application requires installation of a CO2 sensor in the zone or return duct at a minimum. If an economizer controller with the ability to control damper position based on a CO2 sensor signal is already installed there are no additional hardware requirements beyond field wiring. HV029, HV030, and HV031 provide rebates for this situation. For units that do not have a suitable economizer controller with DCV capability, an ADEC with DCV capability may be retrofit to the existing economizer. HV026, HV027, and HV028 provide rebates for the installation of ADEC with a CO2 sensor.</w:t>
      </w:r>
    </w:p>
    <w:p w14:paraId="50EA3135" w14:textId="77777777" w:rsidR="00F466C7" w:rsidRPr="00F466C7" w:rsidRDefault="00F466C7" w:rsidP="00697868">
      <w:pPr>
        <w:pStyle w:val="Reminders"/>
        <w:tabs>
          <w:tab w:val="num" w:pos="360"/>
        </w:tabs>
        <w:rPr>
          <w:rFonts w:asciiTheme="minorHAnsi" w:hAnsiTheme="minorHAnsi" w:cstheme="minorHAnsi"/>
          <w:i w:val="0"/>
          <w:color w:val="auto"/>
          <w:szCs w:val="22"/>
        </w:rPr>
      </w:pP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0B580176" w14:textId="73DD6912" w:rsidR="00F50B9D" w:rsidRDefault="00F50B9D" w:rsidP="00F50B9D">
      <w:r w:rsidRPr="00DD3825">
        <w:t>The rebate is downstream provided to the contractor at the time of installation upon receipt of application and invoice.  This is a Direct Install program.</w:t>
      </w:r>
    </w:p>
    <w:p w14:paraId="3C0AF4A4" w14:textId="77777777" w:rsidR="00F50B9D" w:rsidRPr="00500C4E" w:rsidRDefault="00F50B9D" w:rsidP="00697868">
      <w:pPr>
        <w:pStyle w:val="Reminders"/>
        <w:tabs>
          <w:tab w:val="num" w:pos="360"/>
        </w:tabs>
        <w:rPr>
          <w:rFonts w:asciiTheme="minorHAnsi" w:hAnsiTheme="minorHAnsi" w:cstheme="minorHAnsi"/>
          <w:i w:val="0"/>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05C6A08A" w14:textId="77777777" w:rsidR="00872777" w:rsidRDefault="00872777" w:rsidP="00872777"/>
    <w:p w14:paraId="40730BB3" w14:textId="36DB4E36" w:rsidR="004B4BF3" w:rsidRPr="004B4BF3" w:rsidRDefault="004B4BF3" w:rsidP="00920905">
      <w:pPr>
        <w:pStyle w:val="NoSpacing"/>
      </w:pPr>
      <w:r w:rsidRPr="004B4BF3">
        <w:lastRenderedPageBreak/>
        <w:t>Because this measure is a control upgrade for existing units it is a Retrofit Add-on (REA) application, meaning UES values provided are for an existing system without DCV as the baseline. There are no above-code savings reported as Title 24 201</w:t>
      </w:r>
      <w:r w:rsidR="007E6E8B">
        <w:t>6</w:t>
      </w:r>
      <w:r w:rsidRPr="004B4BF3">
        <w:t xml:space="preserve"> §120.11 requires DCV in most of the building type and activity area types where DCV is beneficial. The UES values are not appropriate for ROB or NC applications.</w:t>
      </w:r>
    </w:p>
    <w:p w14:paraId="1CF959A6" w14:textId="77777777" w:rsidR="004B4BF3" w:rsidRPr="004B4BF3" w:rsidRDefault="004B4BF3" w:rsidP="00920905">
      <w:pPr>
        <w:pStyle w:val="NoSpacing"/>
      </w:pP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6"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6"/>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7" w:name="_Toc385592671"/>
      <w:bookmarkStart w:id="18" w:name="_Toc214003087"/>
      <w:r w:rsidRPr="00920905">
        <w:rPr>
          <w:rFonts w:cs="Arial"/>
          <w:szCs w:val="22"/>
        </w:rPr>
        <w:t>DEER Difference Summary</w:t>
      </w:r>
      <w:bookmarkEnd w:id="17"/>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27886AA1" w:rsidR="00E326BA" w:rsidRPr="00FB6191" w:rsidRDefault="00E326BA" w:rsidP="00920905">
            <w:pPr>
              <w:rPr>
                <w:rFonts w:cs="Arial"/>
                <w:b/>
                <w:szCs w:val="20"/>
              </w:rPr>
            </w:pPr>
            <w:r w:rsidRPr="00FB6191">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376F70F0" w:rsidR="00E326BA" w:rsidRPr="00FB6191" w:rsidRDefault="00E326BA" w:rsidP="00920905">
            <w:pPr>
              <w:rPr>
                <w:rFonts w:cs="Arial"/>
                <w:szCs w:val="20"/>
              </w:rPr>
            </w:pPr>
            <w:r w:rsidRPr="00FB6191">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50BD8C7E" w:rsidR="00E326BA" w:rsidRPr="00FB6191" w:rsidRDefault="003575BD" w:rsidP="00920905">
            <w:pPr>
              <w:rPr>
                <w:rFonts w:cs="Arial"/>
                <w:szCs w:val="20"/>
              </w:rPr>
            </w:pPr>
            <w:r w:rsidRPr="00FB6191">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025AEA8A" w:rsidR="00E326BA" w:rsidRPr="00FB6191" w:rsidRDefault="00E326BA" w:rsidP="00920905">
            <w:pPr>
              <w:rPr>
                <w:rFonts w:cs="Arial"/>
                <w:szCs w:val="20"/>
              </w:rPr>
            </w:pPr>
            <w:r w:rsidRPr="00FB6191">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1E0F34D8" w:rsidR="00E326BA" w:rsidRPr="00FB6191" w:rsidRDefault="00E326BA" w:rsidP="00920905">
            <w:pPr>
              <w:rPr>
                <w:rFonts w:cs="Arial"/>
                <w:szCs w:val="20"/>
              </w:rPr>
            </w:pPr>
            <w:r w:rsidRPr="00FB6191">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75E2CAF8" w:rsidR="00E326BA" w:rsidRPr="00FB6191" w:rsidRDefault="00254671" w:rsidP="00920905">
            <w:pPr>
              <w:rPr>
                <w:rFonts w:cs="Arial"/>
                <w:szCs w:val="20"/>
              </w:rPr>
            </w:pPr>
            <w:r w:rsidRPr="00FB6191">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75638268" w:rsidR="00505CEC" w:rsidRPr="00FB6191" w:rsidDel="00505CEC" w:rsidRDefault="00505CEC" w:rsidP="00920905">
            <w:pPr>
              <w:rPr>
                <w:rFonts w:cs="Arial"/>
                <w:szCs w:val="20"/>
              </w:rPr>
            </w:pPr>
            <w:r w:rsidRPr="00FB6191">
              <w:rPr>
                <w:rFonts w:cs="Arial"/>
                <w:szCs w:val="20"/>
              </w:rPr>
              <w:t>Yes</w:t>
            </w:r>
            <w:r w:rsidR="007E6E8B" w:rsidRPr="00FB6191">
              <w:rPr>
                <w:rFonts w:cs="Arial"/>
                <w:szCs w:val="20"/>
              </w:rPr>
              <w:t xml:space="preserve">, with modifications; see </w:t>
            </w:r>
            <w:r w:rsidR="007E6E8B" w:rsidRPr="007E6E8B">
              <w:rPr>
                <w:rFonts w:cs="Arial"/>
                <w:szCs w:val="20"/>
              </w:rPr>
              <w:t>§2</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3386A474" w:rsidR="00D86A9D" w:rsidRPr="00FB6191" w:rsidRDefault="00D86A9D" w:rsidP="00175D14">
            <w:pPr>
              <w:rPr>
                <w:rFonts w:cs="Arial"/>
                <w:szCs w:val="20"/>
              </w:rPr>
            </w:pPr>
            <w:r w:rsidRPr="00FB6191">
              <w:rPr>
                <w:rFonts w:cstheme="minorHAnsi"/>
                <w:szCs w:val="20"/>
              </w:rPr>
              <w:t>DEER 2015</w:t>
            </w:r>
            <w:r w:rsidR="007E6E8B">
              <w:rPr>
                <w:rFonts w:cstheme="minorHAnsi"/>
                <w:szCs w:val="20"/>
              </w:rPr>
              <w:t xml:space="preserve"> and DEER 2017 (ERC airHP)</w:t>
            </w:r>
            <w:r w:rsidRPr="00FB6191">
              <w:rPr>
                <w:rFonts w:cstheme="minorHAnsi"/>
                <w:szCs w:val="20"/>
              </w:rPr>
              <w:t>, READI v2.2.0</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1A86CA04" w:rsidR="00E326BA" w:rsidRPr="00FB6191" w:rsidRDefault="00E326BA" w:rsidP="00920905">
            <w:pPr>
              <w:rPr>
                <w:rFonts w:cs="Arial"/>
                <w:szCs w:val="20"/>
              </w:rPr>
            </w:pPr>
            <w:r w:rsidRPr="00FB6191">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20BED8F4" w:rsidR="00E326BA" w:rsidRPr="00FB6191" w:rsidRDefault="00EB70FC" w:rsidP="00920905">
            <w:pPr>
              <w:rPr>
                <w:rFonts w:cs="Arial"/>
                <w:szCs w:val="20"/>
              </w:rPr>
            </w:pPr>
            <w:r w:rsidRPr="00FB6191">
              <w:rPr>
                <w:rFonts w:cs="Arial"/>
                <w:szCs w:val="20"/>
              </w:rPr>
              <w:t>None</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920905">
        <w:tc>
          <w:tcPr>
            <w:tcW w:w="673" w:type="pct"/>
          </w:tcPr>
          <w:p w14:paraId="00952921" w14:textId="77777777" w:rsidR="00907697" w:rsidRPr="006D4915" w:rsidRDefault="00907697" w:rsidP="005729C8">
            <w:pPr>
              <w:rPr>
                <w:szCs w:val="20"/>
              </w:rPr>
            </w:pPr>
            <w:r w:rsidRPr="006D4915">
              <w:rPr>
                <w:szCs w:val="20"/>
              </w:rPr>
              <w:t>Com-Default&gt;2yrs</w:t>
            </w:r>
          </w:p>
        </w:tc>
        <w:tc>
          <w:tcPr>
            <w:tcW w:w="2019" w:type="pct"/>
          </w:tcPr>
          <w:p w14:paraId="755799BF" w14:textId="77777777" w:rsidR="00907697" w:rsidRPr="006D4915" w:rsidRDefault="00907697" w:rsidP="005729C8">
            <w:pPr>
              <w:rPr>
                <w:szCs w:val="20"/>
              </w:rPr>
            </w:pPr>
            <w:r w:rsidRPr="006D4915">
              <w:rPr>
                <w:szCs w:val="20"/>
              </w:rPr>
              <w:t>All other EEMs with no evaluated NTGR; existing EEM in programs with same delivery mechanism for more than 2 years</w:t>
            </w:r>
          </w:p>
        </w:tc>
        <w:tc>
          <w:tcPr>
            <w:tcW w:w="434" w:type="pct"/>
          </w:tcPr>
          <w:p w14:paraId="3CB22E86" w14:textId="77777777" w:rsidR="00907697" w:rsidRPr="006D4915" w:rsidRDefault="00907697" w:rsidP="005729C8">
            <w:pPr>
              <w:rPr>
                <w:szCs w:val="20"/>
              </w:rPr>
            </w:pPr>
            <w:r w:rsidRPr="006D4915">
              <w:rPr>
                <w:szCs w:val="20"/>
              </w:rPr>
              <w:t>Com</w:t>
            </w:r>
          </w:p>
        </w:tc>
        <w:tc>
          <w:tcPr>
            <w:tcW w:w="529" w:type="pct"/>
          </w:tcPr>
          <w:p w14:paraId="1AAF8C8B" w14:textId="77777777" w:rsidR="00907697" w:rsidRPr="006D4915" w:rsidRDefault="00907697" w:rsidP="005729C8">
            <w:pPr>
              <w:rPr>
                <w:szCs w:val="20"/>
              </w:rPr>
            </w:pPr>
            <w:r w:rsidRPr="006D4915">
              <w:rPr>
                <w:szCs w:val="20"/>
              </w:rPr>
              <w:t>Any</w:t>
            </w:r>
          </w:p>
        </w:tc>
        <w:tc>
          <w:tcPr>
            <w:tcW w:w="915" w:type="pct"/>
          </w:tcPr>
          <w:p w14:paraId="5BAF7D5F" w14:textId="77777777" w:rsidR="00907697" w:rsidRPr="006D4915" w:rsidRDefault="00907697" w:rsidP="005729C8">
            <w:pPr>
              <w:rPr>
                <w:szCs w:val="20"/>
              </w:rPr>
            </w:pPr>
            <w:r w:rsidRPr="006D4915">
              <w:rPr>
                <w:szCs w:val="20"/>
              </w:rPr>
              <w:t>Any</w:t>
            </w:r>
          </w:p>
        </w:tc>
        <w:tc>
          <w:tcPr>
            <w:tcW w:w="430" w:type="pct"/>
          </w:tcPr>
          <w:p w14:paraId="76698D49" w14:textId="77777777" w:rsidR="00907697" w:rsidRPr="006D4915" w:rsidRDefault="00907697" w:rsidP="005729C8">
            <w:pPr>
              <w:rPr>
                <w:szCs w:val="20"/>
              </w:rPr>
            </w:pPr>
            <w:r w:rsidRPr="006D4915">
              <w:rPr>
                <w:szCs w:val="20"/>
              </w:rPr>
              <w:t>0.6</w:t>
            </w:r>
          </w:p>
        </w:tc>
      </w:tr>
    </w:tbl>
    <w:p w14:paraId="2595EDF1" w14:textId="6DE7E9D8" w:rsidR="000968C6" w:rsidRPr="006D4915" w:rsidRDefault="00FB2590" w:rsidP="000968C6">
      <w:pPr>
        <w:pStyle w:val="Reminders"/>
        <w:rPr>
          <w:rFonts w:asciiTheme="minorHAnsi" w:hAnsiTheme="minorHAnsi" w:cstheme="minorHAnsi"/>
          <w:i w:val="0"/>
          <w:color w:val="auto"/>
          <w:sz w:val="20"/>
          <w:szCs w:val="20"/>
        </w:rPr>
      </w:pPr>
      <w:r w:rsidRPr="006D4915">
        <w:rPr>
          <w:rFonts w:asciiTheme="minorHAnsi" w:hAnsiTheme="minorHAnsi" w:cstheme="minorHAnsi"/>
          <w:i w:val="0"/>
          <w:color w:val="auto"/>
          <w:sz w:val="20"/>
          <w:szCs w:val="20"/>
        </w:rPr>
        <w:t>Note: Direct install measures that are not hard-to-reach will use the default NTG value.</w:t>
      </w:r>
    </w:p>
    <w:p w14:paraId="0E13CC18" w14:textId="77777777" w:rsidR="00C018E0" w:rsidRPr="006D4915" w:rsidRDefault="00C018E0" w:rsidP="000968C6">
      <w:pPr>
        <w:pStyle w:val="Reminders"/>
        <w:rPr>
          <w:rFonts w:asciiTheme="minorHAnsi" w:hAnsiTheme="minorHAnsi" w:cstheme="minorHAnsi"/>
          <w:i w:val="0"/>
          <w:color w:val="auto"/>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00FA6F0A" w14:textId="22827D58" w:rsidR="006E149A" w:rsidRDefault="006E149A" w:rsidP="00472250">
      <w:pPr>
        <w:pStyle w:val="Reminders"/>
        <w:rPr>
          <w:rFonts w:asciiTheme="minorHAnsi" w:hAnsiTheme="minorHAnsi" w:cstheme="minorHAnsi"/>
          <w:i w:val="0"/>
          <w:color w:val="auto"/>
          <w:szCs w:val="22"/>
        </w:rPr>
      </w:pPr>
    </w:p>
    <w:p w14:paraId="5A0F3699" w14:textId="77777777" w:rsidR="006E149A" w:rsidRPr="00DD3825" w:rsidRDefault="006E149A" w:rsidP="006E149A">
      <w:r w:rsidRPr="00DD3825">
        <w:t>Since this is a new measure with no available DEER or energy measurement and verification (EM&amp;V) data available the In-service rate is 1.0.</w:t>
      </w:r>
    </w:p>
    <w:p w14:paraId="546C4E93" w14:textId="77777777" w:rsidR="006E149A" w:rsidRPr="00500C4E" w:rsidRDefault="006E149A" w:rsidP="00472250">
      <w:pPr>
        <w:pStyle w:val="Reminders"/>
        <w:rPr>
          <w:rFonts w:asciiTheme="minorHAnsi" w:hAnsiTheme="minorHAnsi" w:cstheme="minorHAnsi"/>
          <w:i w:val="0"/>
          <w:color w:val="auto"/>
          <w:szCs w:val="22"/>
        </w:rPr>
      </w:pP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6E149A" w:rsidRDefault="002F4E34" w:rsidP="005729C8">
            <w:pPr>
              <w:rPr>
                <w:szCs w:val="20"/>
              </w:rPr>
            </w:pPr>
            <w:r w:rsidRPr="006E149A">
              <w:rPr>
                <w:szCs w:val="20"/>
              </w:rPr>
              <w:t>Def-GSIA</w:t>
            </w:r>
          </w:p>
        </w:tc>
        <w:tc>
          <w:tcPr>
            <w:tcW w:w="1404" w:type="pct"/>
          </w:tcPr>
          <w:p w14:paraId="2BFFF598" w14:textId="77777777" w:rsidR="002F4E34" w:rsidRPr="006E149A" w:rsidRDefault="002F4E34" w:rsidP="005729C8">
            <w:pPr>
              <w:rPr>
                <w:szCs w:val="20"/>
              </w:rPr>
            </w:pPr>
            <w:r w:rsidRPr="006E149A">
              <w:rPr>
                <w:szCs w:val="20"/>
              </w:rPr>
              <w:t>Default GSIA values</w:t>
            </w:r>
          </w:p>
        </w:tc>
        <w:tc>
          <w:tcPr>
            <w:tcW w:w="688" w:type="pct"/>
          </w:tcPr>
          <w:p w14:paraId="157D8A62" w14:textId="77777777" w:rsidR="002F4E34" w:rsidRPr="006E149A" w:rsidRDefault="002F4E34" w:rsidP="005729C8">
            <w:pPr>
              <w:rPr>
                <w:szCs w:val="20"/>
              </w:rPr>
            </w:pPr>
            <w:r w:rsidRPr="006E149A">
              <w:rPr>
                <w:szCs w:val="20"/>
              </w:rPr>
              <w:t>Any</w:t>
            </w:r>
          </w:p>
        </w:tc>
        <w:tc>
          <w:tcPr>
            <w:tcW w:w="858" w:type="pct"/>
          </w:tcPr>
          <w:p w14:paraId="0C3293FE" w14:textId="77777777" w:rsidR="002F4E34" w:rsidRPr="006E149A" w:rsidRDefault="002F4E34" w:rsidP="005729C8">
            <w:pPr>
              <w:rPr>
                <w:szCs w:val="20"/>
              </w:rPr>
            </w:pPr>
            <w:r w:rsidRPr="006E149A">
              <w:rPr>
                <w:szCs w:val="20"/>
              </w:rPr>
              <w:t>Any</w:t>
            </w:r>
          </w:p>
        </w:tc>
        <w:tc>
          <w:tcPr>
            <w:tcW w:w="693" w:type="pct"/>
          </w:tcPr>
          <w:p w14:paraId="0B642835" w14:textId="77777777" w:rsidR="002F4E34" w:rsidRPr="006E149A" w:rsidRDefault="002F4E34" w:rsidP="005729C8">
            <w:pPr>
              <w:rPr>
                <w:szCs w:val="20"/>
              </w:rPr>
            </w:pPr>
            <w:r w:rsidRPr="006E149A">
              <w:rPr>
                <w:szCs w:val="20"/>
              </w:rPr>
              <w:t>Any</w:t>
            </w:r>
          </w:p>
        </w:tc>
        <w:tc>
          <w:tcPr>
            <w:tcW w:w="634" w:type="pct"/>
          </w:tcPr>
          <w:p w14:paraId="1C671DD2" w14:textId="77777777" w:rsidR="002F4E34" w:rsidRPr="006E149A" w:rsidRDefault="002F4E34" w:rsidP="005729C8">
            <w:pPr>
              <w:rPr>
                <w:szCs w:val="20"/>
              </w:rPr>
            </w:pPr>
            <w:r w:rsidRPr="006E149A">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855C80C" w14:textId="75B718E6" w:rsidR="0020474E" w:rsidRDefault="008B1357" w:rsidP="0020474E">
      <w:bookmarkStart w:id="19" w:name="_Hlk518979776"/>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w:t>
      </w:r>
      <w:bookmarkEnd w:id="19"/>
      <w:r w:rsidRPr="00500C4E">
        <w:rPr>
          <w:rFonts w:cstheme="minorHAnsi"/>
          <w:b/>
          <w:szCs w:val="22"/>
        </w:rPr>
        <w:t>e</w:t>
      </w:r>
    </w:p>
    <w:p w14:paraId="3BB4853E" w14:textId="070DA881" w:rsidR="008B1357" w:rsidRPr="00920905" w:rsidRDefault="00A577D0" w:rsidP="00920905">
      <w:pPr>
        <w:pStyle w:val="NoSpacing"/>
      </w:pPr>
      <w:r w:rsidRPr="00DD3825">
        <w:t>Since this measure is a retrofit on an existing system the RUL of the existing system is used as the EUL for the measure. The EUL for the measure is 5 years.</w:t>
      </w:r>
      <w:r>
        <w:t xml:space="preserve"> </w:t>
      </w:r>
      <w:r w:rsidR="006A6D15" w:rsidRPr="0087393E">
        <w:t xml:space="preserve">The EUL and RUL values were obtained </w:t>
      </w:r>
      <w:r w:rsidR="00BC6524" w:rsidRPr="0087393E">
        <w:t>using the DEER READI tool</w:t>
      </w:r>
      <w:r w:rsidR="006A6D15"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7E6E8B" w:rsidRDefault="008B1357" w:rsidP="00BA2E7E">
            <w:pPr>
              <w:rPr>
                <w:rFonts w:cstheme="minorHAnsi"/>
                <w:b/>
                <w:szCs w:val="20"/>
              </w:rPr>
            </w:pPr>
            <w:r w:rsidRPr="007E6E8B">
              <w:rPr>
                <w:rFonts w:cstheme="minorHAnsi"/>
                <w:b/>
                <w:szCs w:val="20"/>
              </w:rPr>
              <w:lastRenderedPageBreak/>
              <w:t>EUL ID</w:t>
            </w:r>
          </w:p>
        </w:tc>
        <w:tc>
          <w:tcPr>
            <w:tcW w:w="1436" w:type="pct"/>
            <w:shd w:val="clear" w:color="auto" w:fill="D9D9D9" w:themeFill="background1" w:themeFillShade="D9"/>
          </w:tcPr>
          <w:p w14:paraId="1C93AC29" w14:textId="77777777" w:rsidR="008B1357" w:rsidRPr="007E6E8B" w:rsidRDefault="008B1357" w:rsidP="00BA2E7E">
            <w:pPr>
              <w:rPr>
                <w:rFonts w:cstheme="minorHAnsi"/>
                <w:b/>
                <w:szCs w:val="20"/>
              </w:rPr>
            </w:pPr>
            <w:r w:rsidRPr="007E6E8B">
              <w:rPr>
                <w:rFonts w:cstheme="minorHAnsi"/>
                <w:b/>
                <w:szCs w:val="20"/>
              </w:rPr>
              <w:t>Description</w:t>
            </w:r>
          </w:p>
        </w:tc>
        <w:tc>
          <w:tcPr>
            <w:tcW w:w="474" w:type="pct"/>
            <w:shd w:val="clear" w:color="auto" w:fill="D9D9D9" w:themeFill="background1" w:themeFillShade="D9"/>
          </w:tcPr>
          <w:p w14:paraId="68405617" w14:textId="77777777" w:rsidR="008B1357" w:rsidRPr="007E6E8B" w:rsidRDefault="008B1357" w:rsidP="00BA2E7E">
            <w:pPr>
              <w:rPr>
                <w:rFonts w:cstheme="minorHAnsi"/>
                <w:b/>
                <w:szCs w:val="20"/>
              </w:rPr>
            </w:pPr>
            <w:r w:rsidRPr="007E6E8B">
              <w:rPr>
                <w:rFonts w:cstheme="minorHAnsi"/>
                <w:b/>
                <w:szCs w:val="20"/>
              </w:rPr>
              <w:t>Sector</w:t>
            </w:r>
          </w:p>
        </w:tc>
        <w:tc>
          <w:tcPr>
            <w:tcW w:w="676" w:type="pct"/>
            <w:shd w:val="clear" w:color="auto" w:fill="D9D9D9" w:themeFill="background1" w:themeFillShade="D9"/>
          </w:tcPr>
          <w:p w14:paraId="0733AF36" w14:textId="77777777" w:rsidR="008B1357" w:rsidRPr="007E6E8B" w:rsidRDefault="00BA2E7E" w:rsidP="00BA2E7E">
            <w:pPr>
              <w:rPr>
                <w:rFonts w:cstheme="minorHAnsi"/>
                <w:b/>
                <w:szCs w:val="20"/>
              </w:rPr>
            </w:pPr>
            <w:r w:rsidRPr="007E6E8B">
              <w:rPr>
                <w:rFonts w:cstheme="minorHAnsi"/>
                <w:b/>
                <w:szCs w:val="20"/>
              </w:rPr>
              <w:t>UseCategory</w:t>
            </w:r>
          </w:p>
        </w:tc>
        <w:tc>
          <w:tcPr>
            <w:tcW w:w="813" w:type="pct"/>
            <w:shd w:val="clear" w:color="auto" w:fill="D9D9D9" w:themeFill="background1" w:themeFillShade="D9"/>
          </w:tcPr>
          <w:p w14:paraId="64D571F2" w14:textId="77777777" w:rsidR="008B1357" w:rsidRPr="007E6E8B" w:rsidRDefault="008B1357" w:rsidP="00BA2E7E">
            <w:pPr>
              <w:rPr>
                <w:rFonts w:cstheme="minorHAnsi"/>
                <w:b/>
                <w:szCs w:val="20"/>
              </w:rPr>
            </w:pPr>
            <w:r w:rsidRPr="007E6E8B">
              <w:rPr>
                <w:rFonts w:cstheme="minorHAnsi"/>
                <w:b/>
                <w:szCs w:val="20"/>
              </w:rPr>
              <w:t>EUL (Years)</w:t>
            </w:r>
          </w:p>
        </w:tc>
        <w:tc>
          <w:tcPr>
            <w:tcW w:w="777" w:type="pct"/>
            <w:shd w:val="clear" w:color="auto" w:fill="D9D9D9" w:themeFill="background1" w:themeFillShade="D9"/>
          </w:tcPr>
          <w:p w14:paraId="6B814E1E" w14:textId="77777777" w:rsidR="008B1357" w:rsidRPr="007E6E8B" w:rsidRDefault="008B1357" w:rsidP="00BA2E7E">
            <w:pPr>
              <w:rPr>
                <w:rFonts w:cstheme="minorHAnsi"/>
                <w:b/>
                <w:szCs w:val="20"/>
              </w:rPr>
            </w:pPr>
            <w:r w:rsidRPr="007E6E8B">
              <w:rPr>
                <w:rFonts w:cstheme="minorHAnsi"/>
                <w:b/>
                <w:szCs w:val="20"/>
              </w:rPr>
              <w:t>RUL (Years)</w:t>
            </w:r>
          </w:p>
        </w:tc>
      </w:tr>
      <w:tr w:rsidR="00BA2E7E" w:rsidRPr="00500C4E" w14:paraId="23E3B0B0" w14:textId="77777777" w:rsidTr="00920905">
        <w:trPr>
          <w:trHeight w:val="243"/>
        </w:trPr>
        <w:tc>
          <w:tcPr>
            <w:tcW w:w="824" w:type="pct"/>
          </w:tcPr>
          <w:p w14:paraId="17A1D7F4" w14:textId="7AD4A320" w:rsidR="00BA2E7E" w:rsidRPr="00F603FB" w:rsidRDefault="00C3759C" w:rsidP="00BA2E7E">
            <w:pPr>
              <w:rPr>
                <w:szCs w:val="20"/>
              </w:rPr>
            </w:pPr>
            <w:r w:rsidRPr="00F603FB">
              <w:rPr>
                <w:szCs w:val="20"/>
              </w:rPr>
              <w:t xml:space="preserve">HVAC-airHP, </w:t>
            </w:r>
            <w:r w:rsidR="00BA2E7E" w:rsidRPr="00F603FB">
              <w:rPr>
                <w:szCs w:val="20"/>
              </w:rPr>
              <w:t>HVAC-airAC</w:t>
            </w:r>
          </w:p>
        </w:tc>
        <w:tc>
          <w:tcPr>
            <w:tcW w:w="1436" w:type="pct"/>
          </w:tcPr>
          <w:p w14:paraId="36E678D1" w14:textId="77777777" w:rsidR="00BA2E7E" w:rsidRPr="00F603FB" w:rsidRDefault="00BA2E7E" w:rsidP="00BA2E7E">
            <w:pPr>
              <w:rPr>
                <w:szCs w:val="20"/>
              </w:rPr>
            </w:pPr>
            <w:r w:rsidRPr="00F603FB">
              <w:rPr>
                <w:szCs w:val="20"/>
              </w:rPr>
              <w:t>Air Conditioners (air-cooled, split and unitary)</w:t>
            </w:r>
          </w:p>
        </w:tc>
        <w:tc>
          <w:tcPr>
            <w:tcW w:w="474" w:type="pct"/>
          </w:tcPr>
          <w:p w14:paraId="42B5C736" w14:textId="77777777" w:rsidR="00BA2E7E" w:rsidRPr="00F603FB" w:rsidRDefault="00BA2E7E" w:rsidP="00BA2E7E">
            <w:pPr>
              <w:rPr>
                <w:szCs w:val="20"/>
              </w:rPr>
            </w:pPr>
            <w:r w:rsidRPr="00F603FB">
              <w:rPr>
                <w:szCs w:val="20"/>
              </w:rPr>
              <w:t>Com</w:t>
            </w:r>
          </w:p>
        </w:tc>
        <w:tc>
          <w:tcPr>
            <w:tcW w:w="676" w:type="pct"/>
          </w:tcPr>
          <w:p w14:paraId="52A841ED" w14:textId="77777777" w:rsidR="00BA2E7E" w:rsidRPr="00F603FB" w:rsidRDefault="00BA2E7E" w:rsidP="00BA2E7E">
            <w:pPr>
              <w:rPr>
                <w:szCs w:val="20"/>
              </w:rPr>
            </w:pPr>
            <w:r w:rsidRPr="00F603FB">
              <w:rPr>
                <w:szCs w:val="20"/>
              </w:rPr>
              <w:t>HVAC</w:t>
            </w:r>
          </w:p>
        </w:tc>
        <w:tc>
          <w:tcPr>
            <w:tcW w:w="813" w:type="pct"/>
          </w:tcPr>
          <w:p w14:paraId="1BF5FCBD" w14:textId="77777777" w:rsidR="00BA2E7E" w:rsidRPr="00F603FB" w:rsidRDefault="00BA2E7E" w:rsidP="00BA2E7E">
            <w:pPr>
              <w:rPr>
                <w:szCs w:val="20"/>
              </w:rPr>
            </w:pPr>
            <w:r w:rsidRPr="00F603FB">
              <w:rPr>
                <w:szCs w:val="20"/>
              </w:rPr>
              <w:t>15</w:t>
            </w:r>
          </w:p>
        </w:tc>
        <w:tc>
          <w:tcPr>
            <w:tcW w:w="777" w:type="pct"/>
          </w:tcPr>
          <w:p w14:paraId="46ED97C1" w14:textId="77777777" w:rsidR="00BA2E7E" w:rsidRPr="00F603FB" w:rsidRDefault="00BA2E7E" w:rsidP="00BA2E7E">
            <w:pPr>
              <w:rPr>
                <w:szCs w:val="20"/>
              </w:rPr>
            </w:pPr>
            <w:r w:rsidRPr="00F603FB">
              <w:rPr>
                <w:szCs w:val="20"/>
              </w:rPr>
              <w:t>5</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8"/>
    </w:p>
    <w:p w14:paraId="37F1BE56" w14:textId="7A0BCF67" w:rsidR="004C287D" w:rsidRPr="004C287D" w:rsidRDefault="004C287D" w:rsidP="009D5131">
      <w:pPr>
        <w:pStyle w:val="Reminders"/>
        <w:rPr>
          <w:rFonts w:asciiTheme="minorHAnsi" w:hAnsiTheme="minorHAnsi" w:cstheme="minorHAnsi"/>
          <w:i w:val="0"/>
          <w:color w:val="auto"/>
          <w:szCs w:val="22"/>
        </w:rPr>
      </w:pPr>
      <w:r w:rsidRPr="004C287D">
        <w:rPr>
          <w:rFonts w:asciiTheme="minorHAnsi" w:hAnsiTheme="minorHAnsi" w:cstheme="minorHAnsi"/>
          <w:i w:val="0"/>
          <w:color w:val="auto"/>
          <w:szCs w:val="22"/>
        </w:rPr>
        <w:t>This measure is a retrofit to an existing system and is not governed by either state or federal codes and standards as long as the project does not include other code-triggering activities such as replacement of HVAC systems. However Title 24 201</w:t>
      </w:r>
      <w:r w:rsidR="007E6E8B">
        <w:rPr>
          <w:rFonts w:asciiTheme="minorHAnsi" w:hAnsiTheme="minorHAnsi" w:cstheme="minorHAnsi"/>
          <w:i w:val="0"/>
          <w:color w:val="auto"/>
          <w:szCs w:val="22"/>
        </w:rPr>
        <w:t>6</w:t>
      </w:r>
      <w:r w:rsidRPr="004C287D">
        <w:rPr>
          <w:rFonts w:asciiTheme="minorHAnsi" w:hAnsiTheme="minorHAnsi" w:cstheme="minorHAnsi"/>
          <w:i w:val="0"/>
          <w:color w:val="auto"/>
          <w:szCs w:val="22"/>
        </w:rPr>
        <w:t xml:space="preserve"> provides economizer control, general ventilation, and DCV requirements that are considered to be best practice and are provided here for reference.</w:t>
      </w: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32208FAA" w:rsidR="00881A42" w:rsidRPr="00180553" w:rsidRDefault="004C287D" w:rsidP="00DF0D19">
            <w:pPr>
              <w:rPr>
                <w:rFonts w:cstheme="minorHAnsi"/>
                <w:szCs w:val="20"/>
              </w:rPr>
            </w:pPr>
            <w:r w:rsidRPr="004C287D">
              <w:rPr>
                <w:rFonts w:cstheme="minorHAnsi"/>
                <w:szCs w:val="20"/>
              </w:rPr>
              <w:t>Title 24 201</w:t>
            </w:r>
            <w:r w:rsidR="007E6E8B">
              <w:rPr>
                <w:rFonts w:cstheme="minorHAnsi"/>
                <w:szCs w:val="20"/>
              </w:rPr>
              <w:t>6</w:t>
            </w:r>
          </w:p>
        </w:tc>
        <w:tc>
          <w:tcPr>
            <w:tcW w:w="2711" w:type="pct"/>
          </w:tcPr>
          <w:p w14:paraId="387D6828" w14:textId="2634404E" w:rsidR="00881A42" w:rsidRPr="00180553" w:rsidRDefault="0022596E" w:rsidP="0022596E">
            <w:pPr>
              <w:tabs>
                <w:tab w:val="left" w:pos="1650"/>
              </w:tabs>
              <w:rPr>
                <w:rFonts w:cstheme="minorHAnsi"/>
                <w:szCs w:val="20"/>
              </w:rPr>
            </w:pPr>
            <w:r w:rsidRPr="004C287D">
              <w:rPr>
                <w:rFonts w:cstheme="minorHAnsi"/>
                <w:szCs w:val="20"/>
              </w:rPr>
              <w:t>Table 140.4-B</w:t>
            </w:r>
            <w:r>
              <w:rPr>
                <w:rFonts w:cstheme="minorHAnsi"/>
                <w:szCs w:val="20"/>
              </w:rPr>
              <w:t xml:space="preserve">: </w:t>
            </w:r>
            <w:r w:rsidRPr="00DD3825">
              <w:t>High limit shut-off control requirements by device type and climate zone</w:t>
            </w:r>
            <w:r>
              <w:rPr>
                <w:rFonts w:cstheme="minorHAnsi"/>
                <w:szCs w:val="20"/>
                <w:vertAlign w:val="superscript"/>
              </w:rPr>
              <w:tab/>
            </w:r>
          </w:p>
        </w:tc>
        <w:tc>
          <w:tcPr>
            <w:tcW w:w="1134" w:type="pct"/>
          </w:tcPr>
          <w:p w14:paraId="3E1189F8" w14:textId="13422295" w:rsidR="00881A42" w:rsidRPr="00180553" w:rsidRDefault="00881A42" w:rsidP="00DF0D19">
            <w:pPr>
              <w:rPr>
                <w:rFonts w:cstheme="minorHAnsi"/>
                <w:szCs w:val="20"/>
              </w:rPr>
            </w:pPr>
          </w:p>
        </w:tc>
      </w:tr>
      <w:tr w:rsidR="00881A42" w:rsidRPr="00500C4E" w14:paraId="55950BED" w14:textId="77777777" w:rsidTr="00920905">
        <w:trPr>
          <w:trHeight w:val="243"/>
        </w:trPr>
        <w:tc>
          <w:tcPr>
            <w:tcW w:w="1155" w:type="pct"/>
          </w:tcPr>
          <w:p w14:paraId="4AB4ED28" w14:textId="3D93B81E" w:rsidR="00881A42" w:rsidRPr="00180553" w:rsidRDefault="0022596E" w:rsidP="0022596E">
            <w:pPr>
              <w:rPr>
                <w:rFonts w:cstheme="minorHAnsi"/>
                <w:szCs w:val="20"/>
              </w:rPr>
            </w:pPr>
            <w:r w:rsidRPr="0022596E">
              <w:rPr>
                <w:rFonts w:cstheme="minorHAnsi"/>
                <w:szCs w:val="20"/>
              </w:rPr>
              <w:t>Title 24 201</w:t>
            </w:r>
            <w:r w:rsidR="007E6E8B">
              <w:rPr>
                <w:rFonts w:cstheme="minorHAnsi"/>
                <w:szCs w:val="20"/>
              </w:rPr>
              <w:t>6</w:t>
            </w:r>
          </w:p>
        </w:tc>
        <w:tc>
          <w:tcPr>
            <w:tcW w:w="2711" w:type="pct"/>
          </w:tcPr>
          <w:p w14:paraId="19FAE8D5" w14:textId="670B312F" w:rsidR="00881A42" w:rsidRPr="0022596E" w:rsidRDefault="0022596E" w:rsidP="00DF0D19">
            <w:pPr>
              <w:rPr>
                <w:rFonts w:cstheme="minorHAnsi"/>
                <w:szCs w:val="20"/>
              </w:rPr>
            </w:pPr>
            <w:r w:rsidRPr="0022596E">
              <w:rPr>
                <w:rFonts w:cstheme="minorHAnsi"/>
                <w:szCs w:val="20"/>
              </w:rPr>
              <w:t>§120.1</w:t>
            </w:r>
            <w:r>
              <w:rPr>
                <w:rFonts w:cstheme="minorHAnsi"/>
                <w:szCs w:val="20"/>
              </w:rPr>
              <w:t xml:space="preserve">: </w:t>
            </w:r>
            <w:r w:rsidRPr="0022596E">
              <w:rPr>
                <w:rFonts w:cstheme="minorHAnsi"/>
                <w:szCs w:val="20"/>
              </w:rPr>
              <w:t>Minimum ventilation requirements</w:t>
            </w:r>
          </w:p>
        </w:tc>
        <w:tc>
          <w:tcPr>
            <w:tcW w:w="1134" w:type="pct"/>
          </w:tcPr>
          <w:p w14:paraId="49C2E9ED" w14:textId="4B6584FA" w:rsidR="00881A42" w:rsidRPr="00180553" w:rsidRDefault="00881A42" w:rsidP="00DF0D19">
            <w:pPr>
              <w:rPr>
                <w:rFonts w:cstheme="minorHAnsi"/>
                <w:szCs w:val="20"/>
              </w:rPr>
            </w:pPr>
          </w:p>
        </w:tc>
      </w:tr>
      <w:tr w:rsidR="0022596E" w:rsidRPr="00500C4E" w14:paraId="648F38EA" w14:textId="77777777" w:rsidTr="00920905">
        <w:trPr>
          <w:trHeight w:val="243"/>
        </w:trPr>
        <w:tc>
          <w:tcPr>
            <w:tcW w:w="1155" w:type="pct"/>
          </w:tcPr>
          <w:p w14:paraId="51F77357" w14:textId="336AD38F" w:rsidR="0022596E" w:rsidRPr="00180553" w:rsidRDefault="0022596E" w:rsidP="0022596E">
            <w:pPr>
              <w:rPr>
                <w:rFonts w:cstheme="minorHAnsi"/>
                <w:szCs w:val="20"/>
              </w:rPr>
            </w:pPr>
            <w:r w:rsidRPr="0022596E">
              <w:rPr>
                <w:rFonts w:cstheme="minorHAnsi"/>
                <w:szCs w:val="20"/>
              </w:rPr>
              <w:t>Title 24 201</w:t>
            </w:r>
            <w:r w:rsidR="007E6E8B">
              <w:rPr>
                <w:rFonts w:cstheme="minorHAnsi"/>
                <w:szCs w:val="20"/>
              </w:rPr>
              <w:t>6</w:t>
            </w:r>
          </w:p>
        </w:tc>
        <w:tc>
          <w:tcPr>
            <w:tcW w:w="2711" w:type="pct"/>
          </w:tcPr>
          <w:p w14:paraId="1D10AE32" w14:textId="2442D59D" w:rsidR="0022596E" w:rsidRPr="0022596E" w:rsidRDefault="0022596E" w:rsidP="0022596E">
            <w:pPr>
              <w:rPr>
                <w:rFonts w:cstheme="minorHAnsi"/>
                <w:szCs w:val="20"/>
              </w:rPr>
            </w:pPr>
            <w:r w:rsidRPr="0022596E">
              <w:rPr>
                <w:rFonts w:cstheme="minorHAnsi"/>
                <w:szCs w:val="20"/>
              </w:rPr>
              <w:t>§120.1(c)3 and 4</w:t>
            </w:r>
            <w:r>
              <w:rPr>
                <w:rFonts w:cstheme="minorHAnsi"/>
                <w:szCs w:val="20"/>
              </w:rPr>
              <w:t xml:space="preserve">: </w:t>
            </w:r>
            <w:r w:rsidRPr="00DD3825">
              <w:t>DCV ventilation and sensor requirements</w:t>
            </w:r>
          </w:p>
        </w:tc>
        <w:tc>
          <w:tcPr>
            <w:tcW w:w="1134" w:type="pct"/>
          </w:tcPr>
          <w:p w14:paraId="23F7629F" w14:textId="394BCF73" w:rsidR="0022596E" w:rsidRPr="00180553" w:rsidRDefault="0022596E" w:rsidP="0022596E">
            <w:pPr>
              <w:rPr>
                <w:rFonts w:cstheme="minorHAnsi"/>
                <w:szCs w:val="20"/>
              </w:rPr>
            </w:pPr>
          </w:p>
        </w:tc>
      </w:tr>
      <w:tr w:rsidR="0022596E" w:rsidRPr="00500C4E" w14:paraId="06895D18" w14:textId="77777777" w:rsidTr="00920905">
        <w:trPr>
          <w:trHeight w:val="243"/>
        </w:trPr>
        <w:tc>
          <w:tcPr>
            <w:tcW w:w="1155" w:type="pct"/>
          </w:tcPr>
          <w:p w14:paraId="2A45F0EC" w14:textId="77777777" w:rsidR="0022596E" w:rsidRPr="00180553" w:rsidRDefault="0022596E" w:rsidP="0022596E">
            <w:pPr>
              <w:rPr>
                <w:rFonts w:cstheme="minorHAnsi"/>
                <w:szCs w:val="20"/>
              </w:rPr>
            </w:pPr>
          </w:p>
        </w:tc>
        <w:tc>
          <w:tcPr>
            <w:tcW w:w="2711" w:type="pct"/>
          </w:tcPr>
          <w:p w14:paraId="58384781" w14:textId="77777777" w:rsidR="0022596E" w:rsidRPr="00180553" w:rsidRDefault="0022596E" w:rsidP="0022596E">
            <w:pPr>
              <w:rPr>
                <w:rFonts w:cstheme="minorHAnsi"/>
                <w:szCs w:val="20"/>
              </w:rPr>
            </w:pPr>
          </w:p>
        </w:tc>
        <w:tc>
          <w:tcPr>
            <w:tcW w:w="1134" w:type="pct"/>
          </w:tcPr>
          <w:p w14:paraId="021BFB6E" w14:textId="77777777" w:rsidR="0022596E" w:rsidRPr="00180553" w:rsidRDefault="0022596E" w:rsidP="0022596E">
            <w:pPr>
              <w:rPr>
                <w:rFonts w:cstheme="minorHAnsi"/>
                <w:szCs w:val="20"/>
              </w:rPr>
            </w:pPr>
          </w:p>
        </w:tc>
      </w:tr>
      <w:tr w:rsidR="0022596E" w:rsidRPr="00500C4E" w14:paraId="10C38138" w14:textId="77777777" w:rsidTr="00920905">
        <w:trPr>
          <w:trHeight w:val="243"/>
        </w:trPr>
        <w:tc>
          <w:tcPr>
            <w:tcW w:w="1155" w:type="pct"/>
          </w:tcPr>
          <w:p w14:paraId="3DCDBE33" w14:textId="77777777" w:rsidR="0022596E" w:rsidRPr="00180553" w:rsidRDefault="0022596E" w:rsidP="0022596E">
            <w:pPr>
              <w:rPr>
                <w:rFonts w:cstheme="minorHAnsi"/>
                <w:szCs w:val="20"/>
              </w:rPr>
            </w:pPr>
          </w:p>
        </w:tc>
        <w:tc>
          <w:tcPr>
            <w:tcW w:w="2711" w:type="pct"/>
          </w:tcPr>
          <w:p w14:paraId="190691B5" w14:textId="77777777" w:rsidR="0022596E" w:rsidRPr="00180553" w:rsidRDefault="0022596E" w:rsidP="0022596E">
            <w:pPr>
              <w:rPr>
                <w:rFonts w:cstheme="minorHAnsi"/>
                <w:szCs w:val="20"/>
              </w:rPr>
            </w:pPr>
          </w:p>
        </w:tc>
        <w:tc>
          <w:tcPr>
            <w:tcW w:w="1134" w:type="pct"/>
          </w:tcPr>
          <w:p w14:paraId="2C1084CD" w14:textId="77777777" w:rsidR="0022596E" w:rsidRPr="00180553" w:rsidRDefault="0022596E" w:rsidP="0022596E">
            <w:pPr>
              <w:rPr>
                <w:rFonts w:cstheme="minorHAnsi"/>
                <w:szCs w:val="20"/>
              </w:rPr>
            </w:pPr>
          </w:p>
        </w:tc>
      </w:tr>
    </w:tbl>
    <w:p w14:paraId="658749F7" w14:textId="08738BEF" w:rsidR="00572D2F" w:rsidRDefault="00572D2F" w:rsidP="00920905">
      <w:pPr>
        <w:pStyle w:val="Heading2"/>
        <w:rPr>
          <w:rFonts w:asciiTheme="minorHAnsi" w:hAnsiTheme="minorHAnsi" w:cstheme="minorHAnsi"/>
        </w:rPr>
      </w:pPr>
      <w:bookmarkStart w:id="20" w:name="_Toc304800207"/>
      <w:bookmarkStart w:id="21" w:name="_Toc324318343"/>
      <w:bookmarkStart w:id="22" w:name="_Toc324340487"/>
      <w:bookmarkStart w:id="23" w:name="_Toc383441992"/>
      <w:bookmarkStart w:id="24"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0"/>
      <w:bookmarkEnd w:id="21"/>
      <w:bookmarkEnd w:id="22"/>
      <w:bookmarkEnd w:id="23"/>
    </w:p>
    <w:p w14:paraId="53CC05B2" w14:textId="0C0F0EF3" w:rsidR="004C077B" w:rsidRPr="004C077B" w:rsidRDefault="004C077B" w:rsidP="00C16E1B">
      <w:r>
        <w:t xml:space="preserve">A study of significant importance to the measure development in this work paper is described in the following section. Per Resolution E-4818 the default measure-level baseline shall be existing conditions for add-on equipment measures, which encompasses the measures in this work paper. DEER </w:t>
      </w:r>
      <w:r w:rsidRPr="004C077B">
        <w:t xml:space="preserve">prototypes for the customer average (CAv) case </w:t>
      </w:r>
      <w:r w:rsidRPr="004C077B">
        <w:rPr>
          <w:szCs w:val="22"/>
        </w:rPr>
        <w:t xml:space="preserve">of the Tech IDs shown in </w:t>
      </w:r>
      <w:r w:rsidRPr="004C077B">
        <w:rPr>
          <w:szCs w:val="22"/>
        </w:rPr>
        <w:fldChar w:fldCharType="begin"/>
      </w:r>
      <w:r w:rsidRPr="004C077B">
        <w:rPr>
          <w:szCs w:val="22"/>
        </w:rPr>
        <w:instrText xml:space="preserve"> REF _Ref418106339 \h  \* MERGEFORMAT </w:instrText>
      </w:r>
      <w:r w:rsidRPr="004C077B">
        <w:rPr>
          <w:szCs w:val="22"/>
        </w:rPr>
      </w:r>
      <w:r w:rsidRPr="004C077B">
        <w:rPr>
          <w:szCs w:val="22"/>
        </w:rPr>
        <w:fldChar w:fldCharType="separate"/>
      </w:r>
      <w:r w:rsidRPr="00C16E1B">
        <w:rPr>
          <w:rFonts w:cstheme="minorHAnsi"/>
          <w:bCs/>
          <w:szCs w:val="22"/>
        </w:rPr>
        <w:t xml:space="preserve">Table </w:t>
      </w:r>
      <w:r w:rsidRPr="00C16E1B">
        <w:rPr>
          <w:rFonts w:cstheme="minorHAnsi"/>
          <w:bCs/>
          <w:noProof/>
          <w:szCs w:val="22"/>
        </w:rPr>
        <w:t>4</w:t>
      </w:r>
      <w:r w:rsidRPr="004C077B">
        <w:rPr>
          <w:szCs w:val="22"/>
        </w:rPr>
        <w:fldChar w:fldCharType="end"/>
      </w:r>
      <w:r w:rsidRPr="004C077B">
        <w:rPr>
          <w:szCs w:val="22"/>
        </w:rPr>
        <w:t xml:space="preserve"> were used as</w:t>
      </w:r>
      <w:r w:rsidRPr="004C077B">
        <w:t xml:space="preserve"> a starting point for defining existing conditions for the measures in this work paper</w:t>
      </w:r>
      <w:r>
        <w:t xml:space="preserve">; </w:t>
      </w:r>
      <w:r w:rsidRPr="004C077B">
        <w:t>a search was done to identify any gaps between DEER and current research regarding existing conditions. Beyond the WO32 document described below no such additional studies were found that would impact the existing conditions for the measures in this work</w:t>
      </w:r>
      <w:r>
        <w:t xml:space="preserve"> </w:t>
      </w:r>
      <w:r w:rsidRPr="004C077B">
        <w:t>paper.</w:t>
      </w:r>
    </w:p>
    <w:p w14:paraId="171FE7F6" w14:textId="55A01CA0"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4A1B39" w:rsidRPr="004A1B39">
        <w:rPr>
          <w:rFonts w:asciiTheme="minorHAnsi" w:hAnsiTheme="minorHAnsi"/>
        </w:rPr>
        <w:t>HVAC Impact Evaluation FINAL Report WO32 HVAC – Volume 1: Report</w:t>
      </w:r>
    </w:p>
    <w:p w14:paraId="21F8558A" w14:textId="77777777" w:rsidR="00C36F08" w:rsidRPr="004A1B39" w:rsidRDefault="00C36F08" w:rsidP="00C36F08">
      <w:pPr>
        <w:rPr>
          <w:rFonts w:cs="Arial"/>
          <w:szCs w:val="22"/>
        </w:rPr>
      </w:pPr>
      <w:r w:rsidRPr="004A1B39">
        <w:rPr>
          <w:rFonts w:cs="Arial"/>
          <w:szCs w:val="22"/>
        </w:rPr>
        <w:tab/>
      </w:r>
    </w:p>
    <w:p w14:paraId="4EF66680" w14:textId="050BB342" w:rsidR="00C36F08" w:rsidRPr="004A1B39" w:rsidRDefault="00C36F08" w:rsidP="00C36F08">
      <w:pPr>
        <w:rPr>
          <w:rFonts w:cs="Arial"/>
          <w:szCs w:val="22"/>
        </w:rPr>
      </w:pPr>
      <w:r w:rsidRPr="004A1B39">
        <w:rPr>
          <w:rFonts w:cs="Arial"/>
          <w:szCs w:val="22"/>
        </w:rPr>
        <w:t>Completion date:</w:t>
      </w:r>
      <w:r w:rsidRPr="004A1B39">
        <w:rPr>
          <w:rFonts w:cs="Arial"/>
          <w:szCs w:val="22"/>
        </w:rPr>
        <w:tab/>
      </w:r>
      <w:r w:rsidR="004A1B39">
        <w:rPr>
          <w:rFonts w:cs="Arial"/>
          <w:szCs w:val="22"/>
        </w:rPr>
        <w:tab/>
      </w:r>
      <w:r w:rsidRPr="004A1B39">
        <w:rPr>
          <w:rFonts w:cs="Arial"/>
          <w:szCs w:val="22"/>
        </w:rPr>
        <w:t>1-28-2014</w:t>
      </w:r>
    </w:p>
    <w:p w14:paraId="5DC70E65" w14:textId="4778EC3D" w:rsidR="00C36F08" w:rsidRPr="004A1B39" w:rsidRDefault="00C36F08" w:rsidP="00C36F08">
      <w:pPr>
        <w:rPr>
          <w:rFonts w:cs="Arial"/>
          <w:szCs w:val="22"/>
        </w:rPr>
      </w:pPr>
      <w:r w:rsidRPr="004A1B39">
        <w:rPr>
          <w:rFonts w:cs="Arial"/>
          <w:szCs w:val="22"/>
        </w:rPr>
        <w:tab/>
        <w:t>Author:</w:t>
      </w:r>
      <w:r w:rsidRPr="004A1B39">
        <w:rPr>
          <w:rFonts w:cs="Arial"/>
          <w:szCs w:val="22"/>
        </w:rPr>
        <w:tab/>
      </w:r>
      <w:r w:rsidRPr="004A1B39">
        <w:rPr>
          <w:rFonts w:cs="Arial"/>
          <w:szCs w:val="22"/>
        </w:rPr>
        <w:tab/>
      </w:r>
      <w:r w:rsidRPr="004A1B39">
        <w:rPr>
          <w:rFonts w:cs="Arial"/>
          <w:szCs w:val="22"/>
        </w:rPr>
        <w:tab/>
        <w:t>California Public Utilities Commission, Energy Division</w:t>
      </w:r>
    </w:p>
    <w:p w14:paraId="388026FD" w14:textId="77777777" w:rsidR="00C36F08" w:rsidRPr="004A1B39" w:rsidRDefault="00C36F08" w:rsidP="00C36F08">
      <w:pPr>
        <w:rPr>
          <w:rFonts w:cs="Arial"/>
          <w:szCs w:val="22"/>
        </w:rPr>
      </w:pPr>
    </w:p>
    <w:p w14:paraId="276479C6" w14:textId="2431DBA2" w:rsidR="00C36F08" w:rsidRPr="004A1B39" w:rsidRDefault="00C36F08" w:rsidP="00C36F08">
      <w:pPr>
        <w:rPr>
          <w:rFonts w:cs="Arial"/>
          <w:szCs w:val="22"/>
        </w:rPr>
      </w:pPr>
      <w:r w:rsidRPr="004A1B39">
        <w:rPr>
          <w:rFonts w:cs="Arial"/>
          <w:szCs w:val="22"/>
        </w:rPr>
        <w:t>This document (WO32</w:t>
      </w:r>
      <w:r w:rsidR="00FB6191">
        <w:rPr>
          <w:rStyle w:val="EndnoteReference"/>
          <w:rFonts w:cs="Arial"/>
          <w:szCs w:val="22"/>
        </w:rPr>
        <w:endnoteReference w:id="3"/>
      </w:r>
      <w:r w:rsidRPr="004A1B39">
        <w:rPr>
          <w:rFonts w:cs="Arial"/>
          <w:szCs w:val="22"/>
        </w:rPr>
        <w:t xml:space="preserve">) is a study of statewide, third-party, and local programs targeting unitary HVAC systems during the 2010-2012 program cycle). WO32 study evaluated gross energy savings and installation rates through activities including on-site field evaluations, sampling and monitoring the performance and energy use of units enrolled in the programs before and after CQM maintenance, and additional laboratory testing of existing HVAC units. The study </w:t>
      </w:r>
      <w:r w:rsidR="00E16A58">
        <w:rPr>
          <w:rFonts w:cs="Arial"/>
          <w:szCs w:val="22"/>
        </w:rPr>
        <w:t xml:space="preserve">includes </w:t>
      </w:r>
      <w:r w:rsidRPr="004A1B39">
        <w:rPr>
          <w:rFonts w:cs="Arial"/>
          <w:szCs w:val="22"/>
        </w:rPr>
        <w:t xml:space="preserve">recognition of typical damper leakage characteristics. </w:t>
      </w:r>
    </w:p>
    <w:p w14:paraId="54A06DCE" w14:textId="77777777" w:rsidR="00C36F08" w:rsidRPr="004A1B39" w:rsidRDefault="00C36F08" w:rsidP="00C36F08">
      <w:pPr>
        <w:rPr>
          <w:rFonts w:cs="Arial"/>
          <w:szCs w:val="22"/>
        </w:rPr>
      </w:pPr>
    </w:p>
    <w:p w14:paraId="658D85FE" w14:textId="6A53B9FA" w:rsidR="00572D2F" w:rsidRPr="004A1B39" w:rsidRDefault="00C36F08" w:rsidP="004A1B39">
      <w:pPr>
        <w:rPr>
          <w:rFonts w:cs="Arial"/>
          <w:szCs w:val="22"/>
        </w:rPr>
      </w:pPr>
      <w:r w:rsidRPr="004A1B39">
        <w:rPr>
          <w:rFonts w:cs="Arial"/>
          <w:szCs w:val="22"/>
        </w:rPr>
        <w:t>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as described in §2.1.</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lastRenderedPageBreak/>
        <w:t xml:space="preserve">1.6 Data </w:t>
      </w:r>
      <w:r w:rsidR="00602F18">
        <w:rPr>
          <w:rFonts w:asciiTheme="minorHAnsi" w:hAnsiTheme="minorHAnsi" w:cstheme="minorHAnsi"/>
        </w:rPr>
        <w:t>Quality and Future Data Needs</w:t>
      </w:r>
    </w:p>
    <w:p w14:paraId="0B95F249" w14:textId="7343BA90" w:rsidR="007E6E8B" w:rsidRPr="00C16E1B" w:rsidRDefault="007E6E8B" w:rsidP="00602F18">
      <w:pPr>
        <w:rPr>
          <w:rFonts w:cs="Arial"/>
          <w:szCs w:val="22"/>
        </w:rPr>
      </w:pPr>
      <w:r>
        <w:t>While WO32 is useful in quantifying outdoor airflow and characterizing non-functional economizer conditions, additional data would be helpful in corroborating and further characterizing the findings. For example, the laboratory testing referenced in WO32 was conducted on one 7.5-ton two-compressor commercial packaged unit; this could be expanded to encompass packaged units from other manufacturers for additional data points to quantify outdoor airflow at varying damper positions. Regarding further characterization of existing non-functional economizer conditions, WO32 provides the fault distribution for economizers failing closed or partially open but could be broken down further into each typical setting (i.e., 1-finger, 2-finger, 3-finger, fully open).</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4"/>
      <w:r w:rsidR="00755A45" w:rsidRPr="00500C4E">
        <w:rPr>
          <w:rFonts w:cstheme="minorHAnsi"/>
        </w:rPr>
        <w:t xml:space="preserve"> Methodology</w:t>
      </w:r>
    </w:p>
    <w:p w14:paraId="44A49FAB" w14:textId="43D3F9B3" w:rsidR="00274FBE" w:rsidRPr="00500C4E" w:rsidRDefault="00C91676" w:rsidP="00920905">
      <w:pPr>
        <w:pStyle w:val="Reminders"/>
        <w:rPr>
          <w:rFonts w:asciiTheme="minorHAnsi" w:hAnsiTheme="minorHAnsi" w:cstheme="minorHAnsi"/>
          <w:i w:val="0"/>
          <w:szCs w:val="22"/>
        </w:rPr>
      </w:pPr>
      <w:r>
        <w:rPr>
          <w:rFonts w:asciiTheme="minorHAnsi" w:hAnsiTheme="minorHAnsi" w:cstheme="minorHAnsi"/>
          <w:i w:val="0"/>
          <w:color w:val="auto"/>
          <w:szCs w:val="22"/>
        </w:rPr>
        <w:t>No</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00C72CB5"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7A8E3D68" w14:textId="6F2B0D2F"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1958"/>
        <w:gridCol w:w="5504"/>
        <w:gridCol w:w="2114"/>
      </w:tblGrid>
      <w:tr w:rsidR="00C20E7B" w:rsidRPr="00500C4E" w14:paraId="5F6E5DED" w14:textId="77777777" w:rsidTr="00920905">
        <w:tc>
          <w:tcPr>
            <w:tcW w:w="1022" w:type="pct"/>
            <w:shd w:val="clear" w:color="auto" w:fill="D9D9D9" w:themeFill="background1" w:themeFillShade="D9"/>
          </w:tcPr>
          <w:p w14:paraId="3DD6BA43" w14:textId="61A5A5A1" w:rsidR="00C20E7B" w:rsidRPr="00920905" w:rsidRDefault="00C20E7B" w:rsidP="001979AF">
            <w:pPr>
              <w:rPr>
                <w:rFonts w:cstheme="minorHAnsi"/>
                <w:b/>
                <w:szCs w:val="20"/>
              </w:rPr>
            </w:pPr>
            <w:r w:rsidRPr="00920905">
              <w:rPr>
                <w:rFonts w:cstheme="minorHAnsi"/>
                <w:b/>
                <w:szCs w:val="20"/>
              </w:rPr>
              <w:t>Measure Code</w:t>
            </w:r>
          </w:p>
        </w:tc>
        <w:tc>
          <w:tcPr>
            <w:tcW w:w="2874" w:type="pct"/>
            <w:shd w:val="clear" w:color="auto" w:fill="D9D9D9" w:themeFill="background1" w:themeFillShade="D9"/>
          </w:tcPr>
          <w:p w14:paraId="35207D9F" w14:textId="77777777" w:rsidR="00C20E7B" w:rsidRPr="00920905" w:rsidRDefault="00C20E7B" w:rsidP="00BA2E7E">
            <w:pPr>
              <w:rPr>
                <w:rFonts w:cstheme="minorHAnsi"/>
                <w:b/>
                <w:szCs w:val="20"/>
              </w:rPr>
            </w:pPr>
            <w:r w:rsidRPr="00920905">
              <w:rPr>
                <w:rFonts w:cstheme="minorHAnsi"/>
                <w:b/>
                <w:szCs w:val="20"/>
              </w:rPr>
              <w:t>Measure Name</w:t>
            </w:r>
          </w:p>
        </w:tc>
        <w:tc>
          <w:tcPr>
            <w:tcW w:w="1104" w:type="pct"/>
            <w:shd w:val="clear" w:color="auto" w:fill="D9D9D9" w:themeFill="background1" w:themeFillShade="D9"/>
          </w:tcPr>
          <w:p w14:paraId="3A8019E6" w14:textId="2ACFFE83" w:rsidR="00C20E7B" w:rsidRPr="00920905" w:rsidRDefault="00C20E7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C20E7B" w:rsidRPr="00500C4E" w14:paraId="124843F4" w14:textId="77777777" w:rsidTr="00920905">
        <w:tc>
          <w:tcPr>
            <w:tcW w:w="1022" w:type="pct"/>
          </w:tcPr>
          <w:p w14:paraId="281630FB" w14:textId="1D20D7E9" w:rsidR="00C20E7B" w:rsidRPr="00C91676" w:rsidRDefault="00C91676" w:rsidP="00BA2E7E">
            <w:pPr>
              <w:rPr>
                <w:rFonts w:cstheme="minorHAnsi"/>
                <w:szCs w:val="20"/>
              </w:rPr>
            </w:pPr>
            <w:r>
              <w:rPr>
                <w:rFonts w:cstheme="minorHAnsi"/>
                <w:szCs w:val="20"/>
              </w:rPr>
              <w:t>NA</w:t>
            </w:r>
          </w:p>
        </w:tc>
        <w:tc>
          <w:tcPr>
            <w:tcW w:w="2874" w:type="pct"/>
          </w:tcPr>
          <w:p w14:paraId="1FE3BCAA" w14:textId="152FF699" w:rsidR="00C20E7B" w:rsidRPr="00C91676" w:rsidRDefault="00C91676" w:rsidP="00BA2E7E">
            <w:pPr>
              <w:rPr>
                <w:rFonts w:cstheme="minorHAnsi"/>
                <w:szCs w:val="20"/>
              </w:rPr>
            </w:pPr>
            <w:r>
              <w:rPr>
                <w:rFonts w:cstheme="minorHAnsi"/>
                <w:szCs w:val="20"/>
              </w:rPr>
              <w:t>NA</w:t>
            </w:r>
          </w:p>
        </w:tc>
        <w:tc>
          <w:tcPr>
            <w:tcW w:w="1104" w:type="pct"/>
          </w:tcPr>
          <w:p w14:paraId="7EC97988" w14:textId="26BE8FA7" w:rsidR="00C91676" w:rsidRPr="00C91676" w:rsidRDefault="00C91676">
            <w:pPr>
              <w:rPr>
                <w:rFonts w:cstheme="minorHAnsi"/>
                <w:szCs w:val="20"/>
              </w:rPr>
            </w:pPr>
            <w:r>
              <w:rPr>
                <w:rFonts w:cstheme="minorHAnsi"/>
                <w:szCs w:val="20"/>
              </w:rPr>
              <w:t>NA</w:t>
            </w:r>
          </w:p>
        </w:tc>
      </w:tr>
    </w:tbl>
    <w:p w14:paraId="4B14EE7E" w14:textId="77777777" w:rsidR="00F56792" w:rsidRPr="00500C4E" w:rsidRDefault="00F56792" w:rsidP="00E16609">
      <w:pPr>
        <w:pStyle w:val="Reminders"/>
        <w:rPr>
          <w:rFonts w:asciiTheme="minorHAnsi" w:hAnsiTheme="minorHAnsi" w:cstheme="minorHAnsi"/>
          <w:i w:val="0"/>
          <w:szCs w:val="22"/>
        </w:rPr>
      </w:pPr>
    </w:p>
    <w:p w14:paraId="5ED2AB85" w14:textId="0F473114" w:rsidR="00BA2A2C" w:rsidRDefault="00BA2A2C" w:rsidP="004B750E">
      <w:pPr>
        <w:pStyle w:val="Reminders"/>
        <w:rPr>
          <w:rFonts w:asciiTheme="minorHAnsi" w:hAnsiTheme="minorHAnsi" w:cstheme="minorHAnsi"/>
          <w:i w:val="0"/>
          <w:color w:val="auto"/>
          <w:szCs w:val="22"/>
        </w:rPr>
      </w:pPr>
      <w:r w:rsidRPr="00E64915">
        <w:rPr>
          <w:rFonts w:asciiTheme="minorHAnsi" w:hAnsiTheme="minorHAnsi" w:cstheme="minorHAnsi"/>
          <w:i w:val="0"/>
          <w:color w:val="auto"/>
          <w:szCs w:val="22"/>
        </w:rPr>
        <w:t>Energy savings and demand reduction for non-refrigeration models were estimated using eQUEST version 3.64.7130 energy modeling software. The DEER 2014</w:t>
      </w:r>
      <w:r w:rsidR="007E6E8B">
        <w:rPr>
          <w:rFonts w:asciiTheme="minorHAnsi" w:hAnsiTheme="minorHAnsi" w:cstheme="minorHAnsi"/>
          <w:i w:val="0"/>
          <w:color w:val="auto"/>
          <w:szCs w:val="22"/>
        </w:rPr>
        <w:t>,</w:t>
      </w:r>
      <w:r>
        <w:rPr>
          <w:rFonts w:asciiTheme="minorHAnsi" w:hAnsiTheme="minorHAnsi" w:cstheme="minorHAnsi"/>
          <w:i w:val="0"/>
          <w:color w:val="auto"/>
          <w:szCs w:val="22"/>
        </w:rPr>
        <w:t xml:space="preserve"> DEER 2015</w:t>
      </w:r>
      <w:r w:rsidR="007E6E8B">
        <w:rPr>
          <w:rFonts w:asciiTheme="minorHAnsi" w:hAnsiTheme="minorHAnsi" w:cstheme="minorHAnsi"/>
          <w:i w:val="0"/>
          <w:color w:val="auto"/>
          <w:szCs w:val="22"/>
        </w:rPr>
        <w:t>, and DEER 2017</w:t>
      </w:r>
      <w:r w:rsidRPr="00E64915">
        <w:rPr>
          <w:rFonts w:asciiTheme="minorHAnsi" w:hAnsiTheme="minorHAnsi" w:cstheme="minorHAnsi"/>
          <w:i w:val="0"/>
          <w:color w:val="auto"/>
          <w:szCs w:val="22"/>
        </w:rPr>
        <w:t xml:space="preserve"> prototypes for the customer average (CAv) case of the Tech IDs shown in </w:t>
      </w:r>
      <w:r w:rsidR="00DF15C4">
        <w:rPr>
          <w:rFonts w:asciiTheme="minorHAnsi" w:hAnsiTheme="minorHAnsi" w:cstheme="minorHAnsi"/>
          <w:i w:val="0"/>
          <w:color w:val="auto"/>
          <w:szCs w:val="22"/>
        </w:rPr>
        <w:t xml:space="preserve">the table below </w:t>
      </w:r>
      <w:r w:rsidRPr="00E64915">
        <w:rPr>
          <w:rFonts w:asciiTheme="minorHAnsi" w:hAnsiTheme="minorHAnsi" w:cstheme="minorHAnsi"/>
          <w:i w:val="0"/>
          <w:color w:val="auto"/>
          <w:szCs w:val="22"/>
        </w:rPr>
        <w:t>were used with some modification (</w:t>
      </w:r>
      <w:r>
        <w:rPr>
          <w:rFonts w:asciiTheme="minorHAnsi" w:hAnsiTheme="minorHAnsi" w:cstheme="minorHAnsi"/>
          <w:i w:val="0"/>
          <w:color w:val="auto"/>
          <w:szCs w:val="22"/>
        </w:rPr>
        <w:t xml:space="preserve">as </w:t>
      </w:r>
      <w:r w:rsidRPr="00E64915">
        <w:rPr>
          <w:rFonts w:asciiTheme="minorHAnsi" w:hAnsiTheme="minorHAnsi" w:cstheme="minorHAnsi"/>
          <w:i w:val="0"/>
          <w:color w:val="auto"/>
          <w:szCs w:val="22"/>
        </w:rPr>
        <w:t xml:space="preserve">described </w:t>
      </w:r>
      <w:r>
        <w:rPr>
          <w:rFonts w:asciiTheme="minorHAnsi" w:hAnsiTheme="minorHAnsi" w:cstheme="minorHAnsi"/>
          <w:i w:val="0"/>
          <w:color w:val="auto"/>
          <w:szCs w:val="22"/>
        </w:rPr>
        <w:t>in §2.1</w:t>
      </w:r>
      <w:r w:rsidRPr="00E64915">
        <w:rPr>
          <w:rFonts w:asciiTheme="minorHAnsi" w:hAnsiTheme="minorHAnsi" w:cstheme="minorHAnsi"/>
          <w:i w:val="0"/>
          <w:color w:val="auto"/>
          <w:szCs w:val="22"/>
        </w:rPr>
        <w:t xml:space="preserve">) to develop </w:t>
      </w:r>
      <w:r>
        <w:rPr>
          <w:rFonts w:asciiTheme="minorHAnsi" w:hAnsiTheme="minorHAnsi" w:cstheme="minorHAnsi"/>
          <w:i w:val="0"/>
          <w:color w:val="auto"/>
          <w:szCs w:val="22"/>
        </w:rPr>
        <w:t>base and measure case</w:t>
      </w:r>
      <w:r w:rsidRPr="00E64915">
        <w:rPr>
          <w:rFonts w:asciiTheme="minorHAnsi" w:hAnsiTheme="minorHAnsi" w:cstheme="minorHAnsi"/>
          <w:i w:val="0"/>
          <w:color w:val="auto"/>
          <w:szCs w:val="22"/>
        </w:rPr>
        <w:t xml:space="preserve"> energy use and demand estimates. DEER prototypes were generated using </w:t>
      </w:r>
      <w:r w:rsidR="007E6E8B">
        <w:rPr>
          <w:rFonts w:asciiTheme="minorHAnsi" w:hAnsiTheme="minorHAnsi" w:cstheme="minorHAnsi"/>
          <w:i w:val="0"/>
          <w:color w:val="auto"/>
          <w:szCs w:val="22"/>
        </w:rPr>
        <w:t>MASControl v3.00.29</w:t>
      </w:r>
      <w:r w:rsidR="003E2651">
        <w:rPr>
          <w:rStyle w:val="EndnoteReference"/>
          <w:rFonts w:asciiTheme="minorHAnsi" w:hAnsiTheme="minorHAnsi" w:cstheme="minorHAnsi"/>
          <w:i w:val="0"/>
          <w:color w:val="auto"/>
          <w:szCs w:val="22"/>
        </w:rPr>
        <w:endnoteReference w:id="4"/>
      </w:r>
      <w:r w:rsidR="007E6E8B">
        <w:rPr>
          <w:rFonts w:asciiTheme="minorHAnsi" w:hAnsiTheme="minorHAnsi" w:cstheme="minorHAnsi"/>
          <w:i w:val="0"/>
          <w:color w:val="auto"/>
          <w:szCs w:val="22"/>
        </w:rPr>
        <w:t xml:space="preserve"> for the heat pump relocatable classroom prototypes, </w:t>
      </w:r>
      <w:r>
        <w:rPr>
          <w:rFonts w:asciiTheme="minorHAnsi" w:hAnsiTheme="minorHAnsi" w:cstheme="minorHAnsi"/>
          <w:i w:val="0"/>
          <w:color w:val="auto"/>
          <w:szCs w:val="22"/>
        </w:rPr>
        <w:t>MASControl v3.00.27</w:t>
      </w:r>
      <w:r>
        <w:rPr>
          <w:rStyle w:val="EndnoteReference"/>
          <w:rFonts w:asciiTheme="minorHAnsi" w:hAnsiTheme="minorHAnsi" w:cstheme="minorHAnsi"/>
          <w:i w:val="0"/>
          <w:color w:val="auto"/>
          <w:szCs w:val="22"/>
        </w:rPr>
        <w:endnoteReference w:id="5"/>
      </w:r>
      <w:r>
        <w:rPr>
          <w:rFonts w:asciiTheme="minorHAnsi" w:hAnsiTheme="minorHAnsi" w:cstheme="minorHAnsi"/>
          <w:i w:val="0"/>
          <w:color w:val="auto"/>
          <w:szCs w:val="22"/>
        </w:rPr>
        <w:t xml:space="preserve"> for all</w:t>
      </w:r>
      <w:r w:rsidR="007E6E8B">
        <w:rPr>
          <w:rFonts w:asciiTheme="minorHAnsi" w:hAnsiTheme="minorHAnsi" w:cstheme="minorHAnsi"/>
          <w:i w:val="0"/>
          <w:color w:val="auto"/>
          <w:szCs w:val="22"/>
        </w:rPr>
        <w:t xml:space="preserve"> remaining</w:t>
      </w:r>
      <w:r>
        <w:rPr>
          <w:rFonts w:asciiTheme="minorHAnsi" w:hAnsiTheme="minorHAnsi" w:cstheme="minorHAnsi"/>
          <w:i w:val="0"/>
          <w:color w:val="auto"/>
          <w:szCs w:val="22"/>
        </w:rPr>
        <w:t xml:space="preserve"> prototypes applicable to the DEER 2015 Code Update</w:t>
      </w:r>
      <w:r w:rsidR="007E6E8B">
        <w:rPr>
          <w:rFonts w:asciiTheme="minorHAnsi" w:hAnsiTheme="minorHAnsi" w:cstheme="minorHAnsi"/>
          <w:i w:val="0"/>
          <w:color w:val="auto"/>
          <w:szCs w:val="22"/>
        </w:rPr>
        <w:t>,</w:t>
      </w:r>
      <w:r>
        <w:rPr>
          <w:rFonts w:asciiTheme="minorHAnsi" w:hAnsiTheme="minorHAnsi" w:cstheme="minorHAnsi"/>
          <w:i w:val="0"/>
          <w:color w:val="auto"/>
          <w:szCs w:val="22"/>
        </w:rPr>
        <w:t xml:space="preserve"> and </w:t>
      </w:r>
      <w:r w:rsidRPr="00E64915">
        <w:rPr>
          <w:rFonts w:asciiTheme="minorHAnsi" w:hAnsiTheme="minorHAnsi" w:cstheme="minorHAnsi"/>
          <w:i w:val="0"/>
          <w:color w:val="auto"/>
          <w:szCs w:val="22"/>
        </w:rPr>
        <w:t>MASControl v3.00.20</w:t>
      </w:r>
      <w:r w:rsidRPr="00604B51">
        <w:rPr>
          <w:rFonts w:asciiTheme="minorHAnsi" w:hAnsiTheme="minorHAnsi" w:cstheme="minorHAnsi"/>
          <w:i w:val="0"/>
          <w:color w:val="auto"/>
          <w:szCs w:val="22"/>
          <w:vertAlign w:val="superscript"/>
        </w:rPr>
        <w:endnoteReference w:id="6"/>
      </w:r>
      <w:r>
        <w:rPr>
          <w:rFonts w:asciiTheme="minorHAnsi" w:hAnsiTheme="minorHAnsi" w:cstheme="minorHAnsi"/>
          <w:i w:val="0"/>
          <w:color w:val="auto"/>
          <w:szCs w:val="22"/>
        </w:rPr>
        <w:t xml:space="preserve"> for the remaining DEER 2014 Code Update prototypes.</w:t>
      </w:r>
      <w:r w:rsidRPr="00AC71FC">
        <w:rPr>
          <w:rFonts w:asciiTheme="minorHAnsi" w:hAnsiTheme="minorHAnsi" w:cstheme="minorHAnsi"/>
          <w:i w:val="0"/>
          <w:color w:val="auto"/>
          <w:szCs w:val="22"/>
        </w:rPr>
        <w:t xml:space="preserve"> </w:t>
      </w:r>
      <w:r w:rsidRPr="00E64915">
        <w:rPr>
          <w:rFonts w:asciiTheme="minorHAnsi" w:hAnsiTheme="minorHAnsi" w:cstheme="minorHAnsi"/>
          <w:i w:val="0"/>
          <w:color w:val="auto"/>
          <w:szCs w:val="22"/>
        </w:rPr>
        <w:t>All modeling was per</w:t>
      </w:r>
      <w:r>
        <w:rPr>
          <w:rFonts w:asciiTheme="minorHAnsi" w:hAnsiTheme="minorHAnsi" w:cstheme="minorHAnsi"/>
          <w:i w:val="0"/>
          <w:color w:val="auto"/>
          <w:szCs w:val="22"/>
        </w:rPr>
        <w:t>formed using default DEER hours</w:t>
      </w:r>
      <w:r w:rsidRPr="00E64915">
        <w:rPr>
          <w:rFonts w:asciiTheme="minorHAnsi" w:hAnsiTheme="minorHAnsi" w:cstheme="minorHAnsi"/>
          <w:i w:val="0"/>
          <w:color w:val="auto"/>
          <w:szCs w:val="22"/>
        </w:rPr>
        <w:t xml:space="preserve"> and the CZ2010 weather files</w:t>
      </w:r>
      <w:r w:rsidRPr="00A53DB5">
        <w:rPr>
          <w:rFonts w:asciiTheme="minorHAnsi" w:hAnsiTheme="minorHAnsi" w:cstheme="minorHAnsi"/>
          <w:i w:val="0"/>
          <w:color w:val="auto"/>
          <w:szCs w:val="22"/>
          <w:vertAlign w:val="superscript"/>
        </w:rPr>
        <w:endnoteReference w:id="7"/>
      </w:r>
      <w:r w:rsidRPr="00E64915">
        <w:rPr>
          <w:rFonts w:asciiTheme="minorHAnsi" w:hAnsiTheme="minorHAnsi" w:cstheme="minorHAnsi"/>
          <w:i w:val="0"/>
          <w:color w:val="auto"/>
          <w:szCs w:val="22"/>
        </w:rPr>
        <w:t>.</w:t>
      </w:r>
    </w:p>
    <w:p w14:paraId="2AB269F0" w14:textId="63206C8C" w:rsidR="00BA2A2C" w:rsidRDefault="00BA2A2C" w:rsidP="004B750E">
      <w:pPr>
        <w:pStyle w:val="Reminders"/>
        <w:rPr>
          <w:rFonts w:asciiTheme="minorHAnsi" w:hAnsiTheme="minorHAnsi" w:cstheme="minorHAnsi"/>
          <w:i w:val="0"/>
          <w:szCs w:val="22"/>
        </w:rPr>
      </w:pPr>
    </w:p>
    <w:p w14:paraId="4300BD01" w14:textId="393288A9" w:rsidR="00DF15C4" w:rsidRPr="00DF15C4" w:rsidRDefault="00DF15C4" w:rsidP="00DF15C4">
      <w:pPr>
        <w:pStyle w:val="Reminders"/>
        <w:rPr>
          <w:rFonts w:asciiTheme="minorHAnsi" w:hAnsiTheme="minorHAnsi" w:cstheme="minorHAnsi"/>
          <w:b/>
          <w:bCs/>
          <w:i w:val="0"/>
          <w:color w:val="auto"/>
          <w:sz w:val="20"/>
          <w:szCs w:val="20"/>
        </w:rPr>
      </w:pPr>
      <w:bookmarkStart w:id="25" w:name="_Ref418106339"/>
      <w:r w:rsidRPr="00DF15C4">
        <w:rPr>
          <w:rFonts w:asciiTheme="minorHAnsi" w:hAnsiTheme="minorHAnsi" w:cstheme="minorHAnsi"/>
          <w:b/>
          <w:bCs/>
          <w:i w:val="0"/>
          <w:color w:val="auto"/>
          <w:sz w:val="20"/>
          <w:szCs w:val="20"/>
        </w:rPr>
        <w:t xml:space="preserve">Table </w:t>
      </w:r>
      <w:r w:rsidRPr="00DF15C4">
        <w:rPr>
          <w:rFonts w:asciiTheme="minorHAnsi" w:hAnsiTheme="minorHAnsi" w:cstheme="minorHAnsi"/>
          <w:b/>
          <w:bCs/>
          <w:i w:val="0"/>
          <w:color w:val="auto"/>
          <w:sz w:val="20"/>
          <w:szCs w:val="20"/>
        </w:rPr>
        <w:fldChar w:fldCharType="begin"/>
      </w:r>
      <w:r w:rsidRPr="00DF15C4">
        <w:rPr>
          <w:rFonts w:asciiTheme="minorHAnsi" w:hAnsiTheme="minorHAnsi" w:cstheme="minorHAnsi"/>
          <w:b/>
          <w:bCs/>
          <w:i w:val="0"/>
          <w:color w:val="auto"/>
          <w:sz w:val="20"/>
          <w:szCs w:val="20"/>
        </w:rPr>
        <w:instrText xml:space="preserve"> SEQ Table \* ARABIC </w:instrText>
      </w:r>
      <w:r w:rsidRPr="00DF15C4">
        <w:rPr>
          <w:rFonts w:asciiTheme="minorHAnsi" w:hAnsiTheme="minorHAnsi" w:cstheme="minorHAnsi"/>
          <w:b/>
          <w:bCs/>
          <w:i w:val="0"/>
          <w:color w:val="auto"/>
          <w:sz w:val="20"/>
          <w:szCs w:val="20"/>
        </w:rPr>
        <w:fldChar w:fldCharType="separate"/>
      </w:r>
      <w:r w:rsidR="00064E9D">
        <w:rPr>
          <w:rFonts w:asciiTheme="minorHAnsi" w:hAnsiTheme="minorHAnsi" w:cstheme="minorHAnsi"/>
          <w:b/>
          <w:bCs/>
          <w:i w:val="0"/>
          <w:noProof/>
          <w:color w:val="auto"/>
          <w:sz w:val="20"/>
          <w:szCs w:val="20"/>
        </w:rPr>
        <w:t>4</w:t>
      </w:r>
      <w:r w:rsidRPr="00DF15C4">
        <w:rPr>
          <w:rFonts w:asciiTheme="minorHAnsi" w:hAnsiTheme="minorHAnsi" w:cstheme="minorHAnsi"/>
          <w:i w:val="0"/>
          <w:color w:val="auto"/>
          <w:sz w:val="20"/>
          <w:szCs w:val="20"/>
        </w:rPr>
        <w:fldChar w:fldCharType="end"/>
      </w:r>
      <w:bookmarkEnd w:id="25"/>
      <w:r w:rsidRPr="00DF15C4">
        <w:rPr>
          <w:rFonts w:asciiTheme="minorHAnsi" w:hAnsiTheme="minorHAnsi" w:cstheme="minorHAnsi"/>
          <w:b/>
          <w:bCs/>
          <w:i w:val="0"/>
          <w:color w:val="auto"/>
          <w:sz w:val="20"/>
          <w:szCs w:val="20"/>
        </w:rPr>
        <w:t xml:space="preserve"> DEER Prototype Tech ID by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DF15C4" w:rsidRPr="00DF15C4" w14:paraId="1E281085" w14:textId="77777777" w:rsidTr="003018D7">
        <w:trPr>
          <w:trHeight w:val="276"/>
        </w:trPr>
        <w:tc>
          <w:tcPr>
            <w:tcW w:w="2500" w:type="pct"/>
            <w:shd w:val="clear" w:color="auto" w:fill="BFBFBF"/>
            <w:vAlign w:val="bottom"/>
          </w:tcPr>
          <w:p w14:paraId="0E5FAAB4" w14:textId="77777777" w:rsidR="00DF15C4" w:rsidRPr="00DF15C4" w:rsidRDefault="00DF15C4" w:rsidP="00DF15C4">
            <w:pPr>
              <w:pStyle w:val="Reminders"/>
              <w:rPr>
                <w:rFonts w:asciiTheme="minorHAnsi" w:hAnsiTheme="minorHAnsi" w:cstheme="minorHAnsi"/>
                <w:b/>
                <w:color w:val="auto"/>
                <w:sz w:val="20"/>
                <w:szCs w:val="20"/>
              </w:rPr>
            </w:pPr>
            <w:r w:rsidRPr="00DF15C4">
              <w:rPr>
                <w:rFonts w:asciiTheme="minorHAnsi" w:hAnsiTheme="minorHAnsi" w:cstheme="minorHAnsi"/>
                <w:b/>
                <w:color w:val="auto"/>
                <w:sz w:val="20"/>
                <w:szCs w:val="20"/>
              </w:rPr>
              <w:t>Measure</w:t>
            </w:r>
          </w:p>
        </w:tc>
        <w:tc>
          <w:tcPr>
            <w:tcW w:w="2500" w:type="pct"/>
            <w:shd w:val="clear" w:color="auto" w:fill="BFBFBF"/>
            <w:vAlign w:val="bottom"/>
          </w:tcPr>
          <w:p w14:paraId="07247EFB" w14:textId="77777777" w:rsidR="00DF15C4" w:rsidRPr="00DF15C4" w:rsidRDefault="00DF15C4" w:rsidP="00DF15C4">
            <w:pPr>
              <w:pStyle w:val="Reminders"/>
              <w:rPr>
                <w:rFonts w:asciiTheme="minorHAnsi" w:hAnsiTheme="minorHAnsi" w:cstheme="minorHAnsi"/>
                <w:b/>
                <w:color w:val="auto"/>
                <w:sz w:val="20"/>
                <w:szCs w:val="20"/>
              </w:rPr>
            </w:pPr>
            <w:r w:rsidRPr="00DF15C4">
              <w:rPr>
                <w:rFonts w:asciiTheme="minorHAnsi" w:hAnsiTheme="minorHAnsi" w:cstheme="minorHAnsi"/>
                <w:b/>
                <w:color w:val="auto"/>
                <w:sz w:val="20"/>
                <w:szCs w:val="20"/>
              </w:rPr>
              <w:t>DEER Prototype Tech ID</w:t>
            </w:r>
          </w:p>
        </w:tc>
      </w:tr>
      <w:tr w:rsidR="006C7AB9" w:rsidRPr="00DF15C4" w14:paraId="514A1FA8" w14:textId="77777777" w:rsidTr="003018D7">
        <w:trPr>
          <w:trHeight w:val="518"/>
        </w:trPr>
        <w:tc>
          <w:tcPr>
            <w:tcW w:w="2500" w:type="pct"/>
            <w:shd w:val="clear" w:color="auto" w:fill="auto"/>
            <w:vAlign w:val="center"/>
          </w:tcPr>
          <w:p w14:paraId="16420FE8" w14:textId="77777777" w:rsidR="006C7AB9" w:rsidRDefault="00F76DBA" w:rsidP="00DF15C4">
            <w:pPr>
              <w:pStyle w:val="Reminders"/>
              <w:rPr>
                <w:rFonts w:asciiTheme="minorHAnsi" w:hAnsiTheme="minorHAnsi" w:cstheme="minorHAnsi"/>
                <w:i w:val="0"/>
                <w:color w:val="auto"/>
                <w:sz w:val="20"/>
                <w:szCs w:val="20"/>
              </w:rPr>
            </w:pPr>
            <w:r w:rsidRPr="00C16E1B">
              <w:rPr>
                <w:rFonts w:asciiTheme="minorHAnsi" w:hAnsiTheme="minorHAnsi" w:cstheme="minorHAnsi"/>
                <w:i w:val="0"/>
                <w:color w:val="auto"/>
                <w:sz w:val="20"/>
                <w:szCs w:val="20"/>
              </w:rPr>
              <w:t xml:space="preserve">Add Demand Controlled Ventilation (DCV) </w:t>
            </w:r>
            <w:r>
              <w:rPr>
                <w:rFonts w:asciiTheme="minorHAnsi" w:hAnsiTheme="minorHAnsi" w:cstheme="minorHAnsi"/>
                <w:i w:val="0"/>
                <w:color w:val="auto"/>
                <w:sz w:val="20"/>
                <w:szCs w:val="20"/>
              </w:rPr>
              <w:t>(Non-ADEC) on AC Unit with Gas Heat</w:t>
            </w:r>
          </w:p>
          <w:p w14:paraId="50A3E672" w14:textId="1BC53AD2" w:rsidR="00F76DBA" w:rsidRPr="00C16E1B" w:rsidRDefault="00F76DBA" w:rsidP="00DF15C4">
            <w:pPr>
              <w:pStyle w:val="Reminders"/>
              <w:rPr>
                <w:rFonts w:asciiTheme="minorHAnsi" w:hAnsiTheme="minorHAnsi" w:cstheme="minorHAnsi"/>
                <w:i w:val="0"/>
                <w:color w:val="auto"/>
                <w:sz w:val="20"/>
                <w:szCs w:val="20"/>
              </w:rPr>
            </w:pPr>
            <w:r w:rsidRPr="00CF18F0">
              <w:rPr>
                <w:rFonts w:asciiTheme="minorHAnsi" w:hAnsiTheme="minorHAnsi" w:cstheme="minorHAnsi"/>
                <w:i w:val="0"/>
                <w:color w:val="auto"/>
                <w:sz w:val="20"/>
                <w:szCs w:val="20"/>
              </w:rPr>
              <w:t xml:space="preserve">Add Demand Controlled Ventilation (DCV) </w:t>
            </w:r>
            <w:r>
              <w:rPr>
                <w:rFonts w:asciiTheme="minorHAnsi" w:hAnsiTheme="minorHAnsi" w:cstheme="minorHAnsi"/>
                <w:i w:val="0"/>
                <w:color w:val="auto"/>
                <w:sz w:val="20"/>
                <w:szCs w:val="20"/>
              </w:rPr>
              <w:t>(ADEC) on AC Unit with Gas Heat</w:t>
            </w:r>
          </w:p>
        </w:tc>
        <w:tc>
          <w:tcPr>
            <w:tcW w:w="2500" w:type="pct"/>
            <w:shd w:val="clear" w:color="auto" w:fill="auto"/>
          </w:tcPr>
          <w:p w14:paraId="4605A9C1" w14:textId="0F1B3CAD" w:rsidR="006C7AB9" w:rsidRPr="00DF15C4" w:rsidRDefault="006C7AB9" w:rsidP="006C7AB9">
            <w:pPr>
              <w:pStyle w:val="Reminders"/>
              <w:rPr>
                <w:rFonts w:asciiTheme="minorHAnsi" w:hAnsiTheme="minorHAnsi" w:cstheme="minorHAnsi"/>
                <w:color w:val="auto"/>
                <w:sz w:val="20"/>
                <w:szCs w:val="20"/>
              </w:rPr>
            </w:pPr>
            <w:r w:rsidRPr="00DF15C4">
              <w:rPr>
                <w:rFonts w:asciiTheme="minorHAnsi" w:hAnsiTheme="minorHAnsi" w:cstheme="minorHAnsi"/>
                <w:color w:val="auto"/>
                <w:sz w:val="20"/>
                <w:szCs w:val="20"/>
              </w:rPr>
              <w:t>D08-NE-HVAC-airAC-SpltPkg-110to134kBtuh-11p5eer</w:t>
            </w:r>
          </w:p>
          <w:p w14:paraId="3ACC78FC" w14:textId="624E1B5E" w:rsidR="006C7AB9" w:rsidRPr="00DF15C4" w:rsidRDefault="006C7AB9" w:rsidP="006C7AB9">
            <w:pPr>
              <w:pStyle w:val="Reminders"/>
              <w:rPr>
                <w:rFonts w:asciiTheme="minorHAnsi" w:hAnsiTheme="minorHAnsi" w:cstheme="minorHAnsi"/>
                <w:b/>
                <w:color w:val="auto"/>
                <w:sz w:val="20"/>
                <w:szCs w:val="20"/>
              </w:rPr>
            </w:pPr>
            <w:r w:rsidRPr="00DF15C4">
              <w:rPr>
                <w:rFonts w:asciiTheme="minorHAnsi" w:hAnsiTheme="minorHAnsi" w:cstheme="minorHAnsi"/>
                <w:color w:val="auto"/>
                <w:sz w:val="20"/>
                <w:szCs w:val="20"/>
              </w:rPr>
              <w:t>MASControl v3.00.27</w:t>
            </w:r>
          </w:p>
        </w:tc>
      </w:tr>
      <w:tr w:rsidR="006C7AB9" w:rsidRPr="00DF15C4" w14:paraId="7ECF937D" w14:textId="77777777" w:rsidTr="003018D7">
        <w:trPr>
          <w:trHeight w:val="518"/>
        </w:trPr>
        <w:tc>
          <w:tcPr>
            <w:tcW w:w="2500" w:type="pct"/>
            <w:shd w:val="clear" w:color="auto" w:fill="auto"/>
            <w:vAlign w:val="center"/>
          </w:tcPr>
          <w:p w14:paraId="4170F3EF" w14:textId="48821912" w:rsidR="00F76DBA" w:rsidRDefault="00F76DBA" w:rsidP="00F76DBA">
            <w:pPr>
              <w:pStyle w:val="Reminders"/>
              <w:rPr>
                <w:rFonts w:asciiTheme="minorHAnsi" w:hAnsiTheme="minorHAnsi" w:cstheme="minorHAnsi"/>
                <w:i w:val="0"/>
                <w:color w:val="auto"/>
                <w:sz w:val="20"/>
                <w:szCs w:val="20"/>
              </w:rPr>
            </w:pPr>
            <w:r w:rsidRPr="00CF18F0">
              <w:rPr>
                <w:rFonts w:asciiTheme="minorHAnsi" w:hAnsiTheme="minorHAnsi" w:cstheme="minorHAnsi"/>
                <w:i w:val="0"/>
                <w:color w:val="auto"/>
                <w:sz w:val="20"/>
                <w:szCs w:val="20"/>
              </w:rPr>
              <w:t xml:space="preserve">Add Demand Controlled Ventilation (DCV) </w:t>
            </w:r>
            <w:r>
              <w:rPr>
                <w:rFonts w:asciiTheme="minorHAnsi" w:hAnsiTheme="minorHAnsi" w:cstheme="minorHAnsi"/>
                <w:i w:val="0"/>
                <w:color w:val="auto"/>
                <w:sz w:val="20"/>
                <w:szCs w:val="20"/>
              </w:rPr>
              <w:t>(Non-ADEC) on AC Only Unit</w:t>
            </w:r>
          </w:p>
          <w:p w14:paraId="3C0424E4" w14:textId="7E7891C4" w:rsidR="006C7AB9" w:rsidRPr="00C16E1B" w:rsidRDefault="00F76DBA" w:rsidP="00F76DBA">
            <w:pPr>
              <w:pStyle w:val="Reminders"/>
              <w:rPr>
                <w:rFonts w:asciiTheme="minorHAnsi" w:hAnsiTheme="minorHAnsi" w:cstheme="minorHAnsi"/>
                <w:i w:val="0"/>
                <w:color w:val="auto"/>
                <w:sz w:val="20"/>
                <w:szCs w:val="20"/>
              </w:rPr>
            </w:pPr>
            <w:r w:rsidRPr="00CF18F0">
              <w:rPr>
                <w:rFonts w:asciiTheme="minorHAnsi" w:hAnsiTheme="minorHAnsi" w:cstheme="minorHAnsi"/>
                <w:i w:val="0"/>
                <w:color w:val="auto"/>
                <w:sz w:val="20"/>
                <w:szCs w:val="20"/>
              </w:rPr>
              <w:t xml:space="preserve">Add Demand Controlled Ventilation (DCV) </w:t>
            </w:r>
            <w:r>
              <w:rPr>
                <w:rFonts w:asciiTheme="minorHAnsi" w:hAnsiTheme="minorHAnsi" w:cstheme="minorHAnsi"/>
                <w:i w:val="0"/>
                <w:color w:val="auto"/>
                <w:sz w:val="20"/>
                <w:szCs w:val="20"/>
              </w:rPr>
              <w:t>(ADEC) on AC Only Unit</w:t>
            </w:r>
          </w:p>
        </w:tc>
        <w:tc>
          <w:tcPr>
            <w:tcW w:w="2500" w:type="pct"/>
            <w:shd w:val="clear" w:color="auto" w:fill="auto"/>
          </w:tcPr>
          <w:p w14:paraId="2E4E1AB8" w14:textId="22F36A14" w:rsidR="006C7AB9" w:rsidRPr="00DF15C4" w:rsidRDefault="006C7AB9" w:rsidP="006C7AB9">
            <w:pPr>
              <w:pStyle w:val="Reminders"/>
              <w:rPr>
                <w:rFonts w:asciiTheme="minorHAnsi" w:hAnsiTheme="minorHAnsi" w:cstheme="minorHAnsi"/>
                <w:color w:val="auto"/>
                <w:sz w:val="20"/>
                <w:szCs w:val="20"/>
              </w:rPr>
            </w:pPr>
            <w:r w:rsidRPr="00DF15C4">
              <w:rPr>
                <w:rFonts w:asciiTheme="minorHAnsi" w:hAnsiTheme="minorHAnsi" w:cstheme="minorHAnsi"/>
                <w:color w:val="auto"/>
                <w:sz w:val="20"/>
                <w:szCs w:val="20"/>
              </w:rPr>
              <w:t>D08-NE-HVAC-airAC-SpltPkg-110to134kBtuh-11p5eer</w:t>
            </w:r>
          </w:p>
          <w:p w14:paraId="0608130D" w14:textId="0563D4A5" w:rsidR="006C7AB9" w:rsidRPr="00DF15C4" w:rsidRDefault="006C7AB9" w:rsidP="006C7AB9">
            <w:pPr>
              <w:pStyle w:val="Reminders"/>
              <w:rPr>
                <w:rFonts w:asciiTheme="minorHAnsi" w:hAnsiTheme="minorHAnsi" w:cstheme="minorHAnsi"/>
                <w:b/>
                <w:color w:val="auto"/>
                <w:sz w:val="20"/>
                <w:szCs w:val="20"/>
              </w:rPr>
            </w:pPr>
            <w:r w:rsidRPr="00DF15C4">
              <w:rPr>
                <w:rFonts w:asciiTheme="minorHAnsi" w:hAnsiTheme="minorHAnsi" w:cstheme="minorHAnsi"/>
                <w:color w:val="auto"/>
                <w:sz w:val="20"/>
                <w:szCs w:val="20"/>
              </w:rPr>
              <w:t>MASControl v3.00.27</w:t>
            </w:r>
          </w:p>
        </w:tc>
      </w:tr>
      <w:tr w:rsidR="00F76DBA" w:rsidRPr="00DF15C4" w14:paraId="56500D9A" w14:textId="77777777" w:rsidTr="003018D7">
        <w:trPr>
          <w:trHeight w:val="518"/>
        </w:trPr>
        <w:tc>
          <w:tcPr>
            <w:tcW w:w="2500" w:type="pct"/>
            <w:vMerge w:val="restart"/>
            <w:shd w:val="clear" w:color="auto" w:fill="auto"/>
            <w:vAlign w:val="center"/>
          </w:tcPr>
          <w:p w14:paraId="74A202C1" w14:textId="4040353D" w:rsidR="00F76DBA" w:rsidRDefault="00F76DBA" w:rsidP="00F76DBA">
            <w:pPr>
              <w:pStyle w:val="Reminders"/>
              <w:rPr>
                <w:rFonts w:asciiTheme="minorHAnsi" w:hAnsiTheme="minorHAnsi" w:cstheme="minorHAnsi"/>
                <w:i w:val="0"/>
                <w:color w:val="auto"/>
                <w:sz w:val="20"/>
                <w:szCs w:val="20"/>
              </w:rPr>
            </w:pPr>
            <w:r w:rsidRPr="00CF18F0">
              <w:rPr>
                <w:rFonts w:asciiTheme="minorHAnsi" w:hAnsiTheme="minorHAnsi" w:cstheme="minorHAnsi"/>
                <w:i w:val="0"/>
                <w:color w:val="auto"/>
                <w:sz w:val="20"/>
                <w:szCs w:val="20"/>
              </w:rPr>
              <w:t xml:space="preserve">Add Demand Controlled Ventilation (DCV) </w:t>
            </w:r>
            <w:r>
              <w:rPr>
                <w:rFonts w:asciiTheme="minorHAnsi" w:hAnsiTheme="minorHAnsi" w:cstheme="minorHAnsi"/>
                <w:i w:val="0"/>
                <w:color w:val="auto"/>
                <w:sz w:val="20"/>
                <w:szCs w:val="20"/>
              </w:rPr>
              <w:t>(Non-ADEC) on Heat Pump</w:t>
            </w:r>
          </w:p>
          <w:p w14:paraId="73E066D3" w14:textId="75EE8F74" w:rsidR="00F76DBA" w:rsidRPr="00C16E1B" w:rsidRDefault="00F76DBA" w:rsidP="00F76DBA">
            <w:pPr>
              <w:pStyle w:val="Reminders"/>
              <w:rPr>
                <w:rFonts w:asciiTheme="minorHAnsi" w:hAnsiTheme="minorHAnsi" w:cstheme="minorHAnsi"/>
                <w:i w:val="0"/>
                <w:color w:val="auto"/>
                <w:sz w:val="20"/>
                <w:szCs w:val="20"/>
              </w:rPr>
            </w:pPr>
            <w:r w:rsidRPr="00CF18F0">
              <w:rPr>
                <w:rFonts w:asciiTheme="minorHAnsi" w:hAnsiTheme="minorHAnsi" w:cstheme="minorHAnsi"/>
                <w:i w:val="0"/>
                <w:color w:val="auto"/>
                <w:sz w:val="20"/>
                <w:szCs w:val="20"/>
              </w:rPr>
              <w:t xml:space="preserve">Add Demand Controlled Ventilation (DCV) </w:t>
            </w:r>
            <w:r>
              <w:rPr>
                <w:rFonts w:asciiTheme="minorHAnsi" w:hAnsiTheme="minorHAnsi" w:cstheme="minorHAnsi"/>
                <w:i w:val="0"/>
                <w:color w:val="auto"/>
                <w:sz w:val="20"/>
                <w:szCs w:val="20"/>
              </w:rPr>
              <w:t>(ADEC) on Heat Pump</w:t>
            </w:r>
          </w:p>
        </w:tc>
        <w:tc>
          <w:tcPr>
            <w:tcW w:w="2500" w:type="pct"/>
            <w:shd w:val="clear" w:color="auto" w:fill="auto"/>
          </w:tcPr>
          <w:p w14:paraId="123F5FF5" w14:textId="77777777" w:rsidR="00F76DBA" w:rsidRPr="00DF15C4" w:rsidRDefault="00F76DBA" w:rsidP="006C7AB9">
            <w:pPr>
              <w:pStyle w:val="Reminders"/>
              <w:rPr>
                <w:rFonts w:asciiTheme="minorHAnsi" w:hAnsiTheme="minorHAnsi" w:cstheme="minorHAnsi"/>
                <w:color w:val="auto"/>
                <w:sz w:val="20"/>
                <w:szCs w:val="20"/>
              </w:rPr>
            </w:pPr>
            <w:r w:rsidRPr="00DF15C4">
              <w:rPr>
                <w:rFonts w:asciiTheme="minorHAnsi" w:hAnsiTheme="minorHAnsi" w:cstheme="minorHAnsi"/>
                <w:b/>
                <w:color w:val="auto"/>
                <w:sz w:val="20"/>
                <w:szCs w:val="20"/>
              </w:rPr>
              <w:t>Non-Education Relocatable Classroom:</w:t>
            </w:r>
            <w:r w:rsidRPr="00DF15C4">
              <w:rPr>
                <w:rFonts w:asciiTheme="minorHAnsi" w:hAnsiTheme="minorHAnsi" w:cstheme="minorHAnsi"/>
                <w:color w:val="auto"/>
                <w:sz w:val="20"/>
                <w:szCs w:val="20"/>
              </w:rPr>
              <w:t xml:space="preserve"> </w:t>
            </w:r>
          </w:p>
          <w:p w14:paraId="2450EB62" w14:textId="77777777" w:rsidR="00F76DBA" w:rsidRPr="00DF15C4" w:rsidRDefault="00F76DBA" w:rsidP="006C7AB9">
            <w:pPr>
              <w:pStyle w:val="Reminders"/>
              <w:rPr>
                <w:rFonts w:asciiTheme="minorHAnsi" w:hAnsiTheme="minorHAnsi" w:cstheme="minorHAnsi"/>
                <w:color w:val="auto"/>
                <w:sz w:val="20"/>
                <w:szCs w:val="20"/>
              </w:rPr>
            </w:pPr>
            <w:r w:rsidRPr="00DF15C4">
              <w:rPr>
                <w:rFonts w:asciiTheme="minorHAnsi" w:hAnsiTheme="minorHAnsi" w:cstheme="minorHAnsi"/>
                <w:color w:val="auto"/>
                <w:sz w:val="20"/>
                <w:szCs w:val="20"/>
              </w:rPr>
              <w:t>D08-NE-HVAC-airHP-SpltPkg-110to134kBtuh-11p5eer-3p4cop</w:t>
            </w:r>
          </w:p>
          <w:p w14:paraId="02D59209" w14:textId="4F62DCFA" w:rsidR="00F76DBA" w:rsidRPr="00DF15C4" w:rsidRDefault="00F76DBA" w:rsidP="006C7AB9">
            <w:pPr>
              <w:pStyle w:val="Reminders"/>
              <w:rPr>
                <w:rFonts w:asciiTheme="minorHAnsi" w:hAnsiTheme="minorHAnsi" w:cstheme="minorHAnsi"/>
                <w:b/>
                <w:color w:val="auto"/>
                <w:sz w:val="20"/>
                <w:szCs w:val="20"/>
              </w:rPr>
            </w:pPr>
            <w:r w:rsidRPr="00DF15C4">
              <w:rPr>
                <w:rFonts w:asciiTheme="minorHAnsi" w:hAnsiTheme="minorHAnsi" w:cstheme="minorHAnsi"/>
                <w:color w:val="auto"/>
                <w:sz w:val="20"/>
                <w:szCs w:val="20"/>
              </w:rPr>
              <w:t>MASControl v3.00.20</w:t>
            </w:r>
          </w:p>
        </w:tc>
      </w:tr>
      <w:tr w:rsidR="00F76DBA" w:rsidRPr="00DF15C4" w14:paraId="036977EB" w14:textId="77777777" w:rsidTr="003018D7">
        <w:trPr>
          <w:trHeight w:val="518"/>
        </w:trPr>
        <w:tc>
          <w:tcPr>
            <w:tcW w:w="2500" w:type="pct"/>
            <w:vMerge/>
            <w:shd w:val="clear" w:color="auto" w:fill="auto"/>
            <w:vAlign w:val="center"/>
          </w:tcPr>
          <w:p w14:paraId="6305380D" w14:textId="77777777" w:rsidR="00F76DBA" w:rsidRPr="00F603FB" w:rsidRDefault="00F76DBA" w:rsidP="006C7AB9">
            <w:pPr>
              <w:pStyle w:val="Reminders"/>
              <w:rPr>
                <w:rFonts w:asciiTheme="minorHAnsi" w:hAnsiTheme="minorHAnsi" w:cstheme="minorHAnsi"/>
                <w:i w:val="0"/>
                <w:color w:val="auto"/>
                <w:sz w:val="20"/>
                <w:szCs w:val="20"/>
              </w:rPr>
            </w:pPr>
          </w:p>
        </w:tc>
        <w:tc>
          <w:tcPr>
            <w:tcW w:w="2500" w:type="pct"/>
            <w:shd w:val="clear" w:color="auto" w:fill="auto"/>
          </w:tcPr>
          <w:p w14:paraId="4EF04EDE" w14:textId="77777777" w:rsidR="00F76DBA" w:rsidRPr="00DF15C4" w:rsidRDefault="00F76DBA" w:rsidP="006C7AB9">
            <w:pPr>
              <w:pStyle w:val="Reminders"/>
              <w:rPr>
                <w:rFonts w:asciiTheme="minorHAnsi" w:hAnsiTheme="minorHAnsi" w:cstheme="minorHAnsi"/>
                <w:color w:val="auto"/>
                <w:sz w:val="20"/>
                <w:szCs w:val="20"/>
              </w:rPr>
            </w:pPr>
            <w:r w:rsidRPr="00DF15C4">
              <w:rPr>
                <w:rFonts w:asciiTheme="minorHAnsi" w:hAnsiTheme="minorHAnsi" w:cstheme="minorHAnsi"/>
                <w:b/>
                <w:color w:val="auto"/>
                <w:sz w:val="20"/>
                <w:szCs w:val="20"/>
              </w:rPr>
              <w:t>Education Relocatable Classroom:</w:t>
            </w:r>
            <w:r w:rsidRPr="00DF15C4">
              <w:rPr>
                <w:rFonts w:asciiTheme="minorHAnsi" w:hAnsiTheme="minorHAnsi" w:cstheme="minorHAnsi"/>
                <w:color w:val="auto"/>
                <w:sz w:val="20"/>
                <w:szCs w:val="20"/>
              </w:rPr>
              <w:t xml:space="preserve"> </w:t>
            </w:r>
          </w:p>
          <w:p w14:paraId="740E7935" w14:textId="77777777" w:rsidR="00F76DBA" w:rsidRPr="00DF15C4" w:rsidRDefault="00F76DBA" w:rsidP="006C7AB9">
            <w:pPr>
              <w:pStyle w:val="Reminders"/>
              <w:rPr>
                <w:rFonts w:asciiTheme="minorHAnsi" w:hAnsiTheme="minorHAnsi" w:cstheme="minorHAnsi"/>
                <w:color w:val="auto"/>
                <w:sz w:val="20"/>
                <w:szCs w:val="20"/>
              </w:rPr>
            </w:pPr>
            <w:r w:rsidRPr="00DF15C4">
              <w:rPr>
                <w:rFonts w:asciiTheme="minorHAnsi" w:hAnsiTheme="minorHAnsi" w:cstheme="minorHAnsi"/>
                <w:color w:val="auto"/>
                <w:sz w:val="20"/>
                <w:szCs w:val="20"/>
              </w:rPr>
              <w:t>D08-NE-HVAC-airHP-PkgEcono-55to64kBtuh-15p0seer-8p2hspf</w:t>
            </w:r>
          </w:p>
          <w:p w14:paraId="5A4425C2" w14:textId="1D11A3AC" w:rsidR="00F76DBA" w:rsidRPr="00DF15C4" w:rsidRDefault="00F76DBA" w:rsidP="006C7AB9">
            <w:pPr>
              <w:pStyle w:val="Reminders"/>
              <w:rPr>
                <w:rFonts w:asciiTheme="minorHAnsi" w:hAnsiTheme="minorHAnsi" w:cstheme="minorHAnsi"/>
                <w:b/>
                <w:color w:val="auto"/>
                <w:sz w:val="20"/>
                <w:szCs w:val="20"/>
              </w:rPr>
            </w:pPr>
            <w:r w:rsidRPr="00DF15C4">
              <w:rPr>
                <w:rFonts w:asciiTheme="minorHAnsi" w:hAnsiTheme="minorHAnsi" w:cstheme="minorHAnsi"/>
                <w:color w:val="auto"/>
                <w:sz w:val="20"/>
                <w:szCs w:val="20"/>
              </w:rPr>
              <w:t>MASControl v3.00.2</w:t>
            </w:r>
            <w:r>
              <w:rPr>
                <w:rFonts w:asciiTheme="minorHAnsi" w:hAnsiTheme="minorHAnsi" w:cstheme="minorHAnsi"/>
                <w:color w:val="auto"/>
                <w:sz w:val="20"/>
                <w:szCs w:val="20"/>
              </w:rPr>
              <w:t>9</w:t>
            </w:r>
          </w:p>
        </w:tc>
      </w:tr>
    </w:tbl>
    <w:p w14:paraId="6DF11B43" w14:textId="77777777" w:rsidR="00BA2A2C" w:rsidRPr="00DF15C4" w:rsidRDefault="00BA2A2C" w:rsidP="004B750E">
      <w:pPr>
        <w:pStyle w:val="Reminders"/>
        <w:rPr>
          <w:rFonts w:asciiTheme="minorHAnsi" w:hAnsiTheme="minorHAnsi" w:cstheme="minorHAnsi"/>
          <w:i w:val="0"/>
          <w:color w:val="auto"/>
          <w:sz w:val="20"/>
          <w:szCs w:val="20"/>
        </w:rPr>
      </w:pPr>
    </w:p>
    <w:p w14:paraId="405AB0C6" w14:textId="155C5B90" w:rsidR="00BA2A2C" w:rsidRPr="00C16E1B" w:rsidRDefault="00F76DBA" w:rsidP="004B750E">
      <w:pPr>
        <w:pStyle w:val="Reminders"/>
        <w:rPr>
          <w:rFonts w:asciiTheme="minorHAnsi" w:hAnsiTheme="minorHAnsi" w:cstheme="minorHAnsi"/>
          <w:i w:val="0"/>
          <w:color w:val="auto"/>
          <w:szCs w:val="22"/>
        </w:rPr>
      </w:pPr>
      <w:r w:rsidRPr="00C16E1B">
        <w:rPr>
          <w:rFonts w:asciiTheme="minorHAnsi" w:hAnsiTheme="minorHAnsi" w:cstheme="minorHAnsi"/>
          <w:i w:val="0"/>
          <w:color w:val="auto"/>
          <w:szCs w:val="22"/>
        </w:rPr>
        <w:t xml:space="preserve">With the </w:t>
      </w:r>
      <w:r>
        <w:rPr>
          <w:rFonts w:asciiTheme="minorHAnsi" w:hAnsiTheme="minorHAnsi" w:cstheme="minorHAnsi"/>
          <w:i w:val="0"/>
          <w:color w:val="auto"/>
          <w:szCs w:val="22"/>
        </w:rPr>
        <w:t xml:space="preserve">exception of educational classroom building type with heat pumps, DEER prototypes for AC and Heat Pump measures were created using the “110to134kBtuh” cooling capacity range. This capacity range allows prototypes to be generated for the widest range of building types. </w:t>
      </w:r>
      <w:r w:rsidRPr="00E76D74">
        <w:rPr>
          <w:rFonts w:asciiTheme="minorHAnsi" w:hAnsiTheme="minorHAnsi" w:cs="Arial"/>
          <w:i w:val="0"/>
          <w:color w:val="auto"/>
          <w:szCs w:val="22"/>
        </w:rPr>
        <w:t>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w:t>
      </w:r>
      <w:r>
        <w:rPr>
          <w:rFonts w:asciiTheme="minorHAnsi" w:hAnsiTheme="minorHAnsi" w:cs="Arial"/>
          <w:i w:val="0"/>
          <w:color w:val="auto"/>
          <w:szCs w:val="22"/>
        </w:rPr>
        <w:t xml:space="preserve"> of these types</w:t>
      </w:r>
      <w:r w:rsidRPr="00E76D74">
        <w:rPr>
          <w:rFonts w:asciiTheme="minorHAnsi" w:hAnsiTheme="minorHAnsi" w:cs="Arial"/>
          <w:i w:val="0"/>
          <w:color w:val="auto"/>
          <w:szCs w:val="22"/>
        </w:rPr>
        <w:t xml:space="preserve"> are therefore slightly conservative.</w:t>
      </w:r>
    </w:p>
    <w:p w14:paraId="1C87548C" w14:textId="1BA772C2" w:rsidR="004E3F75" w:rsidRDefault="004E3F75" w:rsidP="004E3F75">
      <w:pPr>
        <w:pStyle w:val="Heading2"/>
        <w:rPr>
          <w:rFonts w:asciiTheme="minorHAnsi" w:hAnsiTheme="minorHAnsi" w:cstheme="minorHAnsi"/>
        </w:rPr>
      </w:pPr>
      <w:bookmarkStart w:id="26" w:name="_Toc214003093"/>
      <w:r w:rsidRPr="00AA4BA4">
        <w:rPr>
          <w:rFonts w:asciiTheme="minorHAnsi" w:hAnsiTheme="minorHAnsi" w:cstheme="minorHAnsi"/>
        </w:rPr>
        <w:t xml:space="preserve">2.1 </w:t>
      </w:r>
      <w:r w:rsidR="00152428">
        <w:rPr>
          <w:rFonts w:asciiTheme="minorHAnsi" w:hAnsiTheme="minorHAnsi" w:cstheme="minorHAnsi"/>
        </w:rPr>
        <w:t>Base Case Simulations</w:t>
      </w:r>
    </w:p>
    <w:p w14:paraId="3FFE2929" w14:textId="77777777" w:rsidR="004E3F75" w:rsidRPr="004E3F75" w:rsidRDefault="004E3F75" w:rsidP="004E3F75">
      <w:r w:rsidRPr="004E3F75">
        <w:t xml:space="preserve">Upon examination of the DEER prototypes it was found that several modifications were necessary to estimate baseline energy use for the DCV measure. Work paper authors met with a consultant (Kevin Madison) from the Energy Division Ex-Ante Review Team to develop appropriate baseline assumptions and resulting modifications to the DEER prototypes. The following modifications were agreed upon. </w:t>
      </w:r>
    </w:p>
    <w:p w14:paraId="147DEE3A" w14:textId="2E3AAC38" w:rsidR="004E3F75" w:rsidRPr="004E3F75" w:rsidRDefault="004E3F75" w:rsidP="004E3F75">
      <w:pPr>
        <w:numPr>
          <w:ilvl w:val="0"/>
          <w:numId w:val="41"/>
        </w:numPr>
      </w:pPr>
      <w:r w:rsidRPr="004E3F75">
        <w:t>A minimum outside air fraction of 20% was used instead of 0% due to emerging research (not yet published</w:t>
      </w:r>
      <w:r>
        <w:t xml:space="preserve"> at the time of the meeting</w:t>
      </w:r>
      <w:r w:rsidRPr="004E3F75">
        <w:t>) that indicates closed damper leakage for packaged HVAC systems are higher than previously thought.</w:t>
      </w:r>
    </w:p>
    <w:p w14:paraId="3E28E2DD" w14:textId="2579CC06" w:rsidR="004E3F75" w:rsidRPr="004E3F75" w:rsidRDefault="004E3F75" w:rsidP="004E3F75">
      <w:pPr>
        <w:numPr>
          <w:ilvl w:val="0"/>
          <w:numId w:val="41"/>
        </w:numPr>
      </w:pPr>
      <w:r w:rsidRPr="004E3F75">
        <w:t>A maximum outside air fraction of 70% was used instead of 100% due to emerging research (not yet published</w:t>
      </w:r>
      <w:r>
        <w:t xml:space="preserve"> at the time of the meeting</w:t>
      </w:r>
      <w:r w:rsidRPr="004E3F75">
        <w:t>) that indicates return air damper leakage and exhaust air re-entrainment for packaged HVAC systems are higher than previously thought, leading to inability of most systems to provide 100% outside air.</w:t>
      </w:r>
    </w:p>
    <w:p w14:paraId="4194102D" w14:textId="77777777" w:rsidR="004E3F75" w:rsidRPr="004E3F75" w:rsidRDefault="004E3F75" w:rsidP="004E3F75">
      <w:pPr>
        <w:numPr>
          <w:ilvl w:val="0"/>
          <w:numId w:val="41"/>
        </w:numPr>
      </w:pPr>
      <w:r w:rsidRPr="004E3F75">
        <w:t>Hourly occupancy as a percentage of peak design occupancy was reduced to 90% in cases where the DEER occupancy schedule exceeded 90%. DCV savings are sensitive to occupancy, and work paper authors and other collaborators recognized that most buildings do not reach 100% occupancy on a typical day. Parties involved came to the consensus that an average daily maximum occupancy percentage of 90% would be appropriate in these cases. The existing default DEER peak occupant densities were retained.</w:t>
      </w:r>
    </w:p>
    <w:p w14:paraId="683D6AA8" w14:textId="4698C3E8" w:rsidR="004E3F75" w:rsidRPr="004E3F75" w:rsidRDefault="004E3F75" w:rsidP="004E3F75">
      <w:pPr>
        <w:numPr>
          <w:ilvl w:val="0"/>
          <w:numId w:val="41"/>
        </w:numPr>
      </w:pPr>
      <w:r w:rsidRPr="004E3F75">
        <w:t>Economizer dry-bulb changeover temperatures were set in accordance with Title 24 201</w:t>
      </w:r>
      <w:r w:rsidR="00A577D0">
        <w:t>6</w:t>
      </w:r>
      <w:r w:rsidRPr="004E3F75">
        <w:t xml:space="preserve"> Table 140.4B</w:t>
      </w:r>
      <w:r w:rsidR="00A577D0">
        <w:t>.</w:t>
      </w:r>
    </w:p>
    <w:p w14:paraId="3EC726EE" w14:textId="08490F21" w:rsidR="004E3F75" w:rsidRDefault="004E3F75" w:rsidP="004E3F75"/>
    <w:p w14:paraId="75D61F34" w14:textId="5BAD0FFC" w:rsidR="00D812EA" w:rsidRDefault="00D812EA" w:rsidP="004E3F75">
      <w:r w:rsidRPr="00D812EA">
        <w:t>Review of WO32 confirmed that these outside air assumptions are consistent with the best available laboratory data, and were therefore used to adjust baseline assumptions for this work paper as well. To implement these modifications to the DEER prototypes the specific modifications to eQUEST keywords shown in</w:t>
      </w:r>
      <w:r>
        <w:t xml:space="preserve"> </w:t>
      </w:r>
      <w:r w:rsidR="006D5FAE">
        <w:t xml:space="preserve">the following table </w:t>
      </w:r>
      <w:r>
        <w:t>were performed.</w:t>
      </w:r>
    </w:p>
    <w:p w14:paraId="22899C87" w14:textId="63D2FCE9" w:rsidR="00D812EA" w:rsidRDefault="00D812EA" w:rsidP="004E3F75"/>
    <w:tbl>
      <w:tblPr>
        <w:tblStyle w:val="TableGrid1"/>
        <w:tblW w:w="0" w:type="auto"/>
        <w:tblLook w:val="04A0" w:firstRow="1" w:lastRow="0" w:firstColumn="1" w:lastColumn="0" w:noHBand="0" w:noVBand="1"/>
      </w:tblPr>
      <w:tblGrid>
        <w:gridCol w:w="3438"/>
        <w:gridCol w:w="1890"/>
        <w:gridCol w:w="4050"/>
      </w:tblGrid>
      <w:tr w:rsidR="00D812EA" w:rsidRPr="005E2443" w14:paraId="27E015A5" w14:textId="77777777" w:rsidTr="00D417C3">
        <w:tc>
          <w:tcPr>
            <w:tcW w:w="3438" w:type="dxa"/>
            <w:shd w:val="clear" w:color="auto" w:fill="D9D9D9" w:themeFill="background1" w:themeFillShade="D9"/>
          </w:tcPr>
          <w:p w14:paraId="7A17D1A6" w14:textId="77777777" w:rsidR="00D812EA" w:rsidRPr="005E2443" w:rsidRDefault="00D812EA" w:rsidP="00D417C3">
            <w:pPr>
              <w:rPr>
                <w:rFonts w:cstheme="minorHAnsi"/>
                <w:b/>
                <w:szCs w:val="20"/>
              </w:rPr>
            </w:pPr>
            <w:r w:rsidRPr="005E2443">
              <w:rPr>
                <w:rFonts w:cstheme="minorHAnsi"/>
                <w:b/>
                <w:szCs w:val="20"/>
              </w:rPr>
              <w:t>eQUEST Keyword</w:t>
            </w:r>
          </w:p>
        </w:tc>
        <w:tc>
          <w:tcPr>
            <w:tcW w:w="1890" w:type="dxa"/>
            <w:shd w:val="clear" w:color="auto" w:fill="D9D9D9" w:themeFill="background1" w:themeFillShade="D9"/>
          </w:tcPr>
          <w:p w14:paraId="7ED2D5E5" w14:textId="77777777" w:rsidR="00D812EA" w:rsidRPr="005E2443" w:rsidRDefault="00D812EA" w:rsidP="00D417C3">
            <w:pPr>
              <w:rPr>
                <w:rFonts w:cstheme="minorHAnsi"/>
                <w:b/>
                <w:szCs w:val="20"/>
              </w:rPr>
            </w:pPr>
            <w:r w:rsidRPr="005E2443">
              <w:rPr>
                <w:rFonts w:cstheme="minorHAnsi"/>
                <w:b/>
                <w:szCs w:val="20"/>
              </w:rPr>
              <w:t>DEER Value</w:t>
            </w:r>
          </w:p>
        </w:tc>
        <w:tc>
          <w:tcPr>
            <w:tcW w:w="4050" w:type="dxa"/>
            <w:shd w:val="clear" w:color="auto" w:fill="D9D9D9" w:themeFill="background1" w:themeFillShade="D9"/>
          </w:tcPr>
          <w:p w14:paraId="7964B77C" w14:textId="77777777" w:rsidR="00D812EA" w:rsidRPr="005E2443" w:rsidRDefault="00D812EA" w:rsidP="00D417C3">
            <w:pPr>
              <w:rPr>
                <w:rFonts w:cstheme="minorHAnsi"/>
                <w:b/>
                <w:szCs w:val="20"/>
              </w:rPr>
            </w:pPr>
            <w:r w:rsidRPr="005E2443">
              <w:rPr>
                <w:rFonts w:cstheme="minorHAnsi"/>
                <w:b/>
                <w:szCs w:val="20"/>
              </w:rPr>
              <w:t>Modified Baseline Value</w:t>
            </w:r>
          </w:p>
        </w:tc>
      </w:tr>
      <w:tr w:rsidR="00D812EA" w:rsidRPr="00043134" w14:paraId="5D5435CB" w14:textId="77777777" w:rsidTr="00D417C3">
        <w:tc>
          <w:tcPr>
            <w:tcW w:w="3438" w:type="dxa"/>
          </w:tcPr>
          <w:p w14:paraId="5AAB2FAF" w14:textId="77777777" w:rsidR="00D812EA" w:rsidRPr="00043134" w:rsidRDefault="00D812EA" w:rsidP="00D417C3">
            <w:pPr>
              <w:rPr>
                <w:rFonts w:cs="Arial"/>
                <w:szCs w:val="22"/>
              </w:rPr>
            </w:pPr>
            <w:r w:rsidRPr="00043134">
              <w:rPr>
                <w:rFonts w:cs="Arial"/>
                <w:szCs w:val="22"/>
              </w:rPr>
              <w:t>SYSTEM:MIN-OUTSIDE-AIR</w:t>
            </w:r>
          </w:p>
        </w:tc>
        <w:tc>
          <w:tcPr>
            <w:tcW w:w="1890" w:type="dxa"/>
          </w:tcPr>
          <w:p w14:paraId="7451371F" w14:textId="77777777" w:rsidR="00D812EA" w:rsidRPr="00043134" w:rsidRDefault="00D812EA" w:rsidP="00D417C3">
            <w:pPr>
              <w:rPr>
                <w:rFonts w:cs="Arial"/>
                <w:szCs w:val="22"/>
              </w:rPr>
            </w:pPr>
            <w:r w:rsidRPr="00043134">
              <w:rPr>
                <w:rFonts w:cs="Arial"/>
                <w:szCs w:val="22"/>
              </w:rPr>
              <w:t>Varies</w:t>
            </w:r>
          </w:p>
        </w:tc>
        <w:tc>
          <w:tcPr>
            <w:tcW w:w="4050" w:type="dxa"/>
          </w:tcPr>
          <w:p w14:paraId="6ABC8556" w14:textId="77777777" w:rsidR="00D812EA" w:rsidRPr="00043134" w:rsidRDefault="00D812EA" w:rsidP="00D417C3">
            <w:pPr>
              <w:rPr>
                <w:rFonts w:cs="Arial"/>
                <w:szCs w:val="22"/>
              </w:rPr>
            </w:pPr>
            <w:r w:rsidRPr="00043134">
              <w:rPr>
                <w:rFonts w:cs="Arial"/>
                <w:szCs w:val="22"/>
              </w:rPr>
              <w:t>0.2</w:t>
            </w:r>
          </w:p>
        </w:tc>
      </w:tr>
      <w:tr w:rsidR="00D812EA" w:rsidRPr="00043134" w14:paraId="21BC396A" w14:textId="77777777" w:rsidTr="00D417C3">
        <w:tc>
          <w:tcPr>
            <w:tcW w:w="3438" w:type="dxa"/>
          </w:tcPr>
          <w:p w14:paraId="02A088C3" w14:textId="77777777" w:rsidR="00D812EA" w:rsidRPr="00043134" w:rsidRDefault="00D812EA" w:rsidP="00D417C3">
            <w:pPr>
              <w:rPr>
                <w:rFonts w:cs="Arial"/>
                <w:szCs w:val="22"/>
              </w:rPr>
            </w:pPr>
            <w:r w:rsidRPr="00043134">
              <w:rPr>
                <w:rFonts w:cs="Arial"/>
                <w:szCs w:val="22"/>
              </w:rPr>
              <w:t>SYSTEM:MAX-OA-FRACTION</w:t>
            </w:r>
          </w:p>
        </w:tc>
        <w:tc>
          <w:tcPr>
            <w:tcW w:w="1890" w:type="dxa"/>
          </w:tcPr>
          <w:p w14:paraId="63AB5669" w14:textId="77777777" w:rsidR="00D812EA" w:rsidRPr="00043134" w:rsidRDefault="00D812EA" w:rsidP="00D417C3">
            <w:pPr>
              <w:rPr>
                <w:rFonts w:cs="Arial"/>
                <w:szCs w:val="22"/>
              </w:rPr>
            </w:pPr>
            <w:r w:rsidRPr="00043134">
              <w:rPr>
                <w:rFonts w:cs="Arial"/>
                <w:szCs w:val="22"/>
              </w:rPr>
              <w:t>1.0</w:t>
            </w:r>
          </w:p>
        </w:tc>
        <w:tc>
          <w:tcPr>
            <w:tcW w:w="4050" w:type="dxa"/>
          </w:tcPr>
          <w:p w14:paraId="3F1EF57B" w14:textId="77777777" w:rsidR="00D812EA" w:rsidRPr="00043134" w:rsidRDefault="00D812EA" w:rsidP="00D417C3">
            <w:pPr>
              <w:rPr>
                <w:rFonts w:cs="Arial"/>
                <w:szCs w:val="22"/>
              </w:rPr>
            </w:pPr>
            <w:r w:rsidRPr="00043134">
              <w:rPr>
                <w:rFonts w:cs="Arial"/>
                <w:szCs w:val="22"/>
              </w:rPr>
              <w:t>0.7</w:t>
            </w:r>
          </w:p>
        </w:tc>
      </w:tr>
      <w:tr w:rsidR="00D812EA" w:rsidRPr="00043134" w14:paraId="785F10E4" w14:textId="77777777" w:rsidTr="00D417C3">
        <w:tc>
          <w:tcPr>
            <w:tcW w:w="3438" w:type="dxa"/>
          </w:tcPr>
          <w:p w14:paraId="4CF36728" w14:textId="77777777" w:rsidR="00D812EA" w:rsidRPr="00043134" w:rsidRDefault="00D812EA" w:rsidP="00D417C3">
            <w:pPr>
              <w:rPr>
                <w:rFonts w:cs="Arial"/>
                <w:szCs w:val="22"/>
              </w:rPr>
            </w:pPr>
            <w:r w:rsidRPr="00043134">
              <w:rPr>
                <w:rFonts w:cs="Arial"/>
                <w:szCs w:val="22"/>
              </w:rPr>
              <w:t>ZONE:OA/FLOW-PER</w:t>
            </w:r>
          </w:p>
        </w:tc>
        <w:tc>
          <w:tcPr>
            <w:tcW w:w="1890" w:type="dxa"/>
          </w:tcPr>
          <w:p w14:paraId="30C94698" w14:textId="77777777" w:rsidR="00D812EA" w:rsidRPr="00043134" w:rsidRDefault="00D812EA" w:rsidP="00D417C3">
            <w:pPr>
              <w:rPr>
                <w:rFonts w:cs="Arial"/>
                <w:szCs w:val="22"/>
              </w:rPr>
            </w:pPr>
            <w:r w:rsidRPr="00043134">
              <w:rPr>
                <w:rFonts w:cs="Arial"/>
                <w:szCs w:val="22"/>
              </w:rPr>
              <w:t>Varies</w:t>
            </w:r>
          </w:p>
        </w:tc>
        <w:tc>
          <w:tcPr>
            <w:tcW w:w="4050" w:type="dxa"/>
          </w:tcPr>
          <w:p w14:paraId="34A5FFA0" w14:textId="77777777" w:rsidR="00D812EA" w:rsidRPr="00043134" w:rsidRDefault="00D812EA" w:rsidP="00D417C3">
            <w:pPr>
              <w:rPr>
                <w:rFonts w:cs="Arial"/>
                <w:szCs w:val="22"/>
              </w:rPr>
            </w:pPr>
            <w:r w:rsidRPr="00043134">
              <w:rPr>
                <w:rFonts w:cs="Arial"/>
                <w:szCs w:val="22"/>
              </w:rPr>
              <w:t xml:space="preserve">Set such that ZONE:OA-FLOW/PER x Peak Occupancy # of People </w:t>
            </w:r>
          </w:p>
          <w:p w14:paraId="5F4C5EC3" w14:textId="77777777" w:rsidR="00D812EA" w:rsidRPr="00043134" w:rsidRDefault="00D812EA" w:rsidP="00D417C3">
            <w:pPr>
              <w:rPr>
                <w:rFonts w:cs="Arial"/>
                <w:szCs w:val="22"/>
              </w:rPr>
            </w:pPr>
            <w:r w:rsidRPr="00043134">
              <w:rPr>
                <w:rFonts w:cs="Arial"/>
                <w:szCs w:val="22"/>
              </w:rPr>
              <w:t>is between:</w:t>
            </w:r>
          </w:p>
          <w:p w14:paraId="0FDC3D2E" w14:textId="77777777" w:rsidR="00D812EA" w:rsidRPr="00043134" w:rsidRDefault="00D812EA" w:rsidP="00D812EA">
            <w:pPr>
              <w:numPr>
                <w:ilvl w:val="0"/>
                <w:numId w:val="42"/>
              </w:numPr>
              <w:rPr>
                <w:rFonts w:cs="Arial"/>
                <w:szCs w:val="22"/>
              </w:rPr>
            </w:pPr>
            <w:r w:rsidRPr="00043134">
              <w:rPr>
                <w:rFonts w:cs="Arial"/>
                <w:szCs w:val="22"/>
              </w:rPr>
              <w:t>0.2 x Supply Air Flow Rate</w:t>
            </w:r>
          </w:p>
          <w:p w14:paraId="0F23B520" w14:textId="77777777" w:rsidR="00D812EA" w:rsidRPr="00043134" w:rsidRDefault="00D812EA" w:rsidP="00D812EA">
            <w:pPr>
              <w:numPr>
                <w:ilvl w:val="0"/>
                <w:numId w:val="42"/>
              </w:numPr>
              <w:rPr>
                <w:rFonts w:cs="Arial"/>
                <w:szCs w:val="22"/>
              </w:rPr>
            </w:pPr>
            <w:r w:rsidRPr="00043134">
              <w:rPr>
                <w:rFonts w:cs="Arial"/>
                <w:szCs w:val="22"/>
              </w:rPr>
              <w:t>0.7 x Supply Air Flow Rate</w:t>
            </w:r>
          </w:p>
          <w:p w14:paraId="67E854EE" w14:textId="77777777" w:rsidR="00D812EA" w:rsidRPr="00043134" w:rsidRDefault="00D812EA" w:rsidP="00D417C3">
            <w:pPr>
              <w:rPr>
                <w:rFonts w:cs="Arial"/>
                <w:szCs w:val="22"/>
              </w:rPr>
            </w:pPr>
          </w:p>
          <w:p w14:paraId="570F132A" w14:textId="77777777" w:rsidR="00D812EA" w:rsidRPr="00043134" w:rsidRDefault="00D812EA" w:rsidP="00D417C3">
            <w:pPr>
              <w:rPr>
                <w:rFonts w:cs="Arial"/>
                <w:szCs w:val="22"/>
              </w:rPr>
            </w:pPr>
            <w:r w:rsidRPr="00043134">
              <w:rPr>
                <w:rFonts w:cs="Arial"/>
                <w:szCs w:val="22"/>
              </w:rPr>
              <w:t>This modification ensures the first two keywords are not overwritten.</w:t>
            </w:r>
          </w:p>
        </w:tc>
      </w:tr>
      <w:tr w:rsidR="00D812EA" w:rsidRPr="00043134" w14:paraId="77507AB7" w14:textId="77777777" w:rsidTr="00D417C3">
        <w:tc>
          <w:tcPr>
            <w:tcW w:w="3438" w:type="dxa"/>
          </w:tcPr>
          <w:p w14:paraId="7217E479" w14:textId="77777777" w:rsidR="00D812EA" w:rsidRDefault="00D812EA" w:rsidP="00D417C3">
            <w:pPr>
              <w:rPr>
                <w:rFonts w:cs="Arial"/>
                <w:szCs w:val="22"/>
              </w:rPr>
            </w:pPr>
            <w:r>
              <w:rPr>
                <w:rFonts w:cs="Arial"/>
                <w:szCs w:val="22"/>
              </w:rPr>
              <w:t>DAY-SCHEDULE:VALUES[#]</w:t>
            </w:r>
          </w:p>
          <w:p w14:paraId="19A4FAA8" w14:textId="77777777" w:rsidR="00D812EA" w:rsidRPr="00043134" w:rsidRDefault="00D812EA" w:rsidP="00D417C3">
            <w:pPr>
              <w:rPr>
                <w:rFonts w:cs="Arial"/>
                <w:szCs w:val="22"/>
              </w:rPr>
            </w:pPr>
            <w:r>
              <w:rPr>
                <w:rFonts w:cs="Arial"/>
                <w:szCs w:val="22"/>
              </w:rPr>
              <w:lastRenderedPageBreak/>
              <w:br/>
              <w:t>Only in daily schedules being used for SYSTEM:MIN-AIR-SCH</w:t>
            </w:r>
          </w:p>
        </w:tc>
        <w:tc>
          <w:tcPr>
            <w:tcW w:w="1890" w:type="dxa"/>
          </w:tcPr>
          <w:p w14:paraId="6930CCE1" w14:textId="77777777" w:rsidR="00D812EA" w:rsidRPr="00043134" w:rsidRDefault="00D812EA" w:rsidP="00D417C3">
            <w:pPr>
              <w:rPr>
                <w:rFonts w:cs="Arial"/>
                <w:szCs w:val="22"/>
              </w:rPr>
            </w:pPr>
            <w:r>
              <w:rPr>
                <w:rFonts w:cs="Arial"/>
                <w:szCs w:val="22"/>
              </w:rPr>
              <w:lastRenderedPageBreak/>
              <w:t xml:space="preserve">0.001 for </w:t>
            </w:r>
            <w:r>
              <w:rPr>
                <w:rFonts w:cs="Arial"/>
                <w:szCs w:val="22"/>
              </w:rPr>
              <w:lastRenderedPageBreak/>
              <w:t>unoccupied periods, -999 for occupied periods</w:t>
            </w:r>
          </w:p>
        </w:tc>
        <w:tc>
          <w:tcPr>
            <w:tcW w:w="4050" w:type="dxa"/>
          </w:tcPr>
          <w:p w14:paraId="1030C961" w14:textId="77777777" w:rsidR="00D812EA" w:rsidRDefault="00D812EA" w:rsidP="00D417C3">
            <w:pPr>
              <w:rPr>
                <w:rFonts w:cs="Arial"/>
                <w:szCs w:val="22"/>
              </w:rPr>
            </w:pPr>
            <w:r>
              <w:rPr>
                <w:rFonts w:cs="Arial"/>
                <w:szCs w:val="22"/>
              </w:rPr>
              <w:lastRenderedPageBreak/>
              <w:t xml:space="preserve">Modify 0.001 to 0.2 during unoccupied </w:t>
            </w:r>
            <w:r>
              <w:rPr>
                <w:rFonts w:cs="Arial"/>
                <w:szCs w:val="22"/>
              </w:rPr>
              <w:lastRenderedPageBreak/>
              <w:t>periods.</w:t>
            </w:r>
          </w:p>
          <w:p w14:paraId="3AAA4875" w14:textId="77777777" w:rsidR="00D812EA" w:rsidRDefault="00D812EA" w:rsidP="00D417C3">
            <w:pPr>
              <w:rPr>
                <w:rFonts w:cs="Arial"/>
                <w:szCs w:val="22"/>
              </w:rPr>
            </w:pPr>
          </w:p>
          <w:p w14:paraId="31AA8F84" w14:textId="77777777" w:rsidR="00D812EA" w:rsidRPr="00043134" w:rsidRDefault="00D812EA" w:rsidP="00D417C3">
            <w:pPr>
              <w:rPr>
                <w:rFonts w:cs="Arial"/>
                <w:szCs w:val="22"/>
              </w:rPr>
            </w:pPr>
            <w:r>
              <w:rPr>
                <w:rFonts w:cs="Arial"/>
                <w:szCs w:val="22"/>
              </w:rPr>
              <w:t>This modification ensures that unit operation during scheduled unoccupied periods will properly simulate damper leakage.</w:t>
            </w:r>
          </w:p>
        </w:tc>
      </w:tr>
      <w:tr w:rsidR="00D812EA" w:rsidRPr="00043134" w14:paraId="1CB7BEC2" w14:textId="77777777" w:rsidTr="00D417C3">
        <w:tc>
          <w:tcPr>
            <w:tcW w:w="3438" w:type="dxa"/>
          </w:tcPr>
          <w:p w14:paraId="6580AE6C" w14:textId="77777777" w:rsidR="00D812EA" w:rsidRDefault="00D812EA" w:rsidP="00D417C3">
            <w:pPr>
              <w:rPr>
                <w:rFonts w:cs="Arial"/>
                <w:szCs w:val="22"/>
              </w:rPr>
            </w:pPr>
            <w:r>
              <w:rPr>
                <w:rFonts w:cs="Arial"/>
                <w:szCs w:val="22"/>
              </w:rPr>
              <w:lastRenderedPageBreak/>
              <w:t>SYSTEM:OA-CONTROL</w:t>
            </w:r>
          </w:p>
          <w:p w14:paraId="14B04D76" w14:textId="77777777" w:rsidR="00D812EA" w:rsidRDefault="00D812EA" w:rsidP="00D417C3">
            <w:pPr>
              <w:rPr>
                <w:rFonts w:cs="Arial"/>
                <w:szCs w:val="22"/>
              </w:rPr>
            </w:pPr>
          </w:p>
          <w:p w14:paraId="4A9874BE" w14:textId="77777777" w:rsidR="00D812EA" w:rsidRDefault="00D812EA" w:rsidP="00D417C3">
            <w:pPr>
              <w:rPr>
                <w:rFonts w:cs="Arial"/>
                <w:szCs w:val="22"/>
              </w:rPr>
            </w:pPr>
          </w:p>
        </w:tc>
        <w:tc>
          <w:tcPr>
            <w:tcW w:w="1890" w:type="dxa"/>
          </w:tcPr>
          <w:p w14:paraId="55C384CC" w14:textId="77777777" w:rsidR="00D812EA" w:rsidRPr="00043134" w:rsidRDefault="00D812EA" w:rsidP="00D417C3">
            <w:pPr>
              <w:rPr>
                <w:rFonts w:cs="Arial"/>
                <w:szCs w:val="22"/>
              </w:rPr>
            </w:pPr>
            <w:r>
              <w:rPr>
                <w:rFonts w:cs="Arial"/>
                <w:szCs w:val="22"/>
              </w:rPr>
              <w:t>FIXED</w:t>
            </w:r>
          </w:p>
        </w:tc>
        <w:tc>
          <w:tcPr>
            <w:tcW w:w="4050" w:type="dxa"/>
          </w:tcPr>
          <w:p w14:paraId="48CA75E7" w14:textId="77777777" w:rsidR="00D812EA" w:rsidRDefault="00D812EA" w:rsidP="00D417C3">
            <w:pPr>
              <w:rPr>
                <w:rFonts w:cs="Arial"/>
                <w:szCs w:val="22"/>
              </w:rPr>
            </w:pPr>
            <w:r>
              <w:rPr>
                <w:rFonts w:cs="Arial"/>
                <w:szCs w:val="22"/>
              </w:rPr>
              <w:t>OA-TEMP</w:t>
            </w:r>
          </w:p>
          <w:p w14:paraId="1A19F90F" w14:textId="77777777" w:rsidR="00D812EA" w:rsidRDefault="00D812EA" w:rsidP="00D417C3">
            <w:pPr>
              <w:rPr>
                <w:rFonts w:cs="Arial"/>
                <w:szCs w:val="22"/>
              </w:rPr>
            </w:pPr>
          </w:p>
          <w:p w14:paraId="71747BA1" w14:textId="77777777" w:rsidR="00D812EA" w:rsidRPr="00043134" w:rsidRDefault="00D812EA" w:rsidP="00D417C3">
            <w:pPr>
              <w:rPr>
                <w:rFonts w:cs="Arial"/>
                <w:szCs w:val="22"/>
              </w:rPr>
            </w:pPr>
            <w:r>
              <w:rPr>
                <w:rFonts w:cs="Arial"/>
                <w:szCs w:val="22"/>
              </w:rPr>
              <w:t>Only in “v75” prototypes where some systems were not affected by DEER 2015 Code Update and could not be created with default economizer baseline.</w:t>
            </w:r>
          </w:p>
        </w:tc>
      </w:tr>
      <w:tr w:rsidR="00D812EA" w:rsidRPr="00043134" w14:paraId="5EF6DD7B" w14:textId="77777777" w:rsidTr="00D417C3">
        <w:tc>
          <w:tcPr>
            <w:tcW w:w="3438" w:type="dxa"/>
          </w:tcPr>
          <w:p w14:paraId="691EB72D" w14:textId="77777777" w:rsidR="00D812EA" w:rsidRDefault="00D812EA" w:rsidP="00D417C3">
            <w:pPr>
              <w:rPr>
                <w:rFonts w:cs="Arial"/>
                <w:szCs w:val="22"/>
              </w:rPr>
            </w:pPr>
            <w:r>
              <w:rPr>
                <w:rFonts w:cs="Arial"/>
                <w:szCs w:val="22"/>
              </w:rPr>
              <w:t>DAY-SCHEDULE:VALUES[#]</w:t>
            </w:r>
          </w:p>
          <w:p w14:paraId="4C82F77B" w14:textId="77777777" w:rsidR="00D812EA" w:rsidRDefault="00D812EA" w:rsidP="00D417C3">
            <w:pPr>
              <w:rPr>
                <w:rFonts w:cs="Arial"/>
                <w:szCs w:val="22"/>
              </w:rPr>
            </w:pPr>
          </w:p>
          <w:p w14:paraId="7BFEC53E" w14:textId="03852CB8" w:rsidR="00D812EA" w:rsidRDefault="00D812EA" w:rsidP="00D417C3">
            <w:pPr>
              <w:rPr>
                <w:rFonts w:cs="Arial"/>
                <w:szCs w:val="22"/>
              </w:rPr>
            </w:pPr>
            <w:r>
              <w:rPr>
                <w:rFonts w:cs="Arial"/>
                <w:szCs w:val="22"/>
              </w:rPr>
              <w:t>Only in daily schedules being used for space occupancy</w:t>
            </w:r>
          </w:p>
        </w:tc>
        <w:tc>
          <w:tcPr>
            <w:tcW w:w="1890" w:type="dxa"/>
          </w:tcPr>
          <w:p w14:paraId="77E1D521" w14:textId="50A9BEC5" w:rsidR="00D812EA" w:rsidRDefault="00D812EA" w:rsidP="00D417C3">
            <w:pPr>
              <w:rPr>
                <w:rFonts w:cs="Arial"/>
                <w:szCs w:val="22"/>
              </w:rPr>
            </w:pPr>
            <w:r>
              <w:rPr>
                <w:rFonts w:cs="Arial"/>
                <w:szCs w:val="22"/>
              </w:rPr>
              <w:t>If &gt;0.9</w:t>
            </w:r>
          </w:p>
        </w:tc>
        <w:tc>
          <w:tcPr>
            <w:tcW w:w="4050" w:type="dxa"/>
          </w:tcPr>
          <w:p w14:paraId="2DBA4BB3" w14:textId="383172CF" w:rsidR="00D812EA" w:rsidRDefault="00D812EA" w:rsidP="00D417C3">
            <w:pPr>
              <w:rPr>
                <w:rFonts w:cs="Arial"/>
                <w:szCs w:val="22"/>
              </w:rPr>
            </w:pPr>
            <w:r>
              <w:rPr>
                <w:rFonts w:cs="Arial"/>
                <w:szCs w:val="22"/>
              </w:rPr>
              <w:t>0.9</w:t>
            </w:r>
          </w:p>
        </w:tc>
      </w:tr>
      <w:tr w:rsidR="00D812EA" w:rsidRPr="00043134" w14:paraId="4EFE52FE" w14:textId="77777777" w:rsidTr="00D417C3">
        <w:tc>
          <w:tcPr>
            <w:tcW w:w="3438" w:type="dxa"/>
          </w:tcPr>
          <w:p w14:paraId="4B30BCAD" w14:textId="29FAC2EC" w:rsidR="00D812EA" w:rsidRDefault="00D812EA" w:rsidP="00D417C3">
            <w:pPr>
              <w:rPr>
                <w:rFonts w:cs="Arial"/>
                <w:szCs w:val="22"/>
              </w:rPr>
            </w:pPr>
            <w:r>
              <w:rPr>
                <w:rFonts w:cs="Arial"/>
                <w:szCs w:val="22"/>
              </w:rPr>
              <w:t>SYSTEM:ECONO-LIMIT-T</w:t>
            </w:r>
          </w:p>
        </w:tc>
        <w:tc>
          <w:tcPr>
            <w:tcW w:w="1890" w:type="dxa"/>
          </w:tcPr>
          <w:p w14:paraId="27C30666" w14:textId="5454B2A4" w:rsidR="00D812EA" w:rsidRDefault="00D812EA" w:rsidP="00D417C3">
            <w:pPr>
              <w:rPr>
                <w:rFonts w:cs="Arial"/>
                <w:szCs w:val="22"/>
              </w:rPr>
            </w:pPr>
            <w:r>
              <w:rPr>
                <w:rFonts w:cs="Arial"/>
                <w:szCs w:val="22"/>
              </w:rPr>
              <w:t>Varies</w:t>
            </w:r>
          </w:p>
        </w:tc>
        <w:tc>
          <w:tcPr>
            <w:tcW w:w="4050" w:type="dxa"/>
          </w:tcPr>
          <w:p w14:paraId="7FD950D1" w14:textId="4EA48235" w:rsidR="00D812EA" w:rsidRDefault="00D812EA" w:rsidP="00D417C3">
            <w:pPr>
              <w:rPr>
                <w:rFonts w:cs="Arial"/>
                <w:szCs w:val="22"/>
              </w:rPr>
            </w:pPr>
            <w:r w:rsidRPr="00D812EA">
              <w:rPr>
                <w:rFonts w:cs="Arial"/>
                <w:szCs w:val="22"/>
              </w:rPr>
              <w:t>Varies by climate zone from 69°F to 75°F depending on Title 24 201</w:t>
            </w:r>
            <w:r>
              <w:rPr>
                <w:rFonts w:cs="Arial"/>
                <w:szCs w:val="22"/>
              </w:rPr>
              <w:t>6</w:t>
            </w:r>
            <w:r w:rsidRPr="00D812EA">
              <w:rPr>
                <w:rFonts w:cs="Arial"/>
                <w:szCs w:val="22"/>
              </w:rPr>
              <w:t xml:space="preserve"> Table 140.4B</w:t>
            </w:r>
            <w:r>
              <w:rPr>
                <w:rFonts w:cs="Arial"/>
                <w:szCs w:val="22"/>
              </w:rPr>
              <w:t xml:space="preserve"> </w:t>
            </w:r>
            <w:r w:rsidRPr="00D812EA">
              <w:rPr>
                <w:rFonts w:cs="Arial"/>
                <w:szCs w:val="22"/>
              </w:rPr>
              <w:t>requirement</w:t>
            </w:r>
          </w:p>
        </w:tc>
      </w:tr>
    </w:tbl>
    <w:p w14:paraId="303D646A" w14:textId="2365CEBF" w:rsidR="00D812EA" w:rsidRDefault="00D812EA" w:rsidP="004E3F75"/>
    <w:p w14:paraId="13B94B98" w14:textId="632F1E94" w:rsidR="00DF74D6" w:rsidRDefault="00152428" w:rsidP="00152428">
      <w:pPr>
        <w:pStyle w:val="Heading2"/>
        <w:rPr>
          <w:rFonts w:asciiTheme="minorHAnsi" w:hAnsiTheme="minorHAnsi" w:cstheme="minorHAnsi"/>
        </w:rPr>
      </w:pPr>
      <w:r w:rsidRPr="00C16E1B">
        <w:rPr>
          <w:rFonts w:asciiTheme="minorHAnsi" w:hAnsiTheme="minorHAnsi" w:cstheme="minorHAnsi"/>
        </w:rPr>
        <w:t>2.2 Measure Case Simulations</w:t>
      </w:r>
    </w:p>
    <w:p w14:paraId="535BEDDF" w14:textId="4F3F45AF" w:rsidR="00152428" w:rsidRDefault="00152428" w:rsidP="00152428">
      <w:r w:rsidRPr="00152428">
        <w:t>To develop measure-case energy use and demand estimates the modified baseline files were further modified to simulate application of DCV to each system for which DCV would result in the benefit of reduced ventilation supplied to the space. To determine the specific systems and zones for which DCV would provide a benefit it was necessary to determine the minimum ventilation rate that could be supplied for each zone based on the maximum of:</w:t>
      </w:r>
    </w:p>
    <w:p w14:paraId="49612BD5" w14:textId="77777777" w:rsidR="00152428" w:rsidRPr="00152428" w:rsidRDefault="00152428" w:rsidP="00152428"/>
    <w:p w14:paraId="08C15CBB" w14:textId="77777777" w:rsidR="00152428" w:rsidRPr="00152428" w:rsidRDefault="00152428" w:rsidP="00152428">
      <w:pPr>
        <w:numPr>
          <w:ilvl w:val="0"/>
          <w:numId w:val="43"/>
        </w:numPr>
      </w:pPr>
      <w:r w:rsidRPr="00152428">
        <w:t>20% of the supply airflow (assumed physical limitation of dampers)</w:t>
      </w:r>
    </w:p>
    <w:p w14:paraId="7D0F27CE" w14:textId="2B426DB9" w:rsidR="00152428" w:rsidRPr="00152428" w:rsidRDefault="00152428" w:rsidP="00152428">
      <w:pPr>
        <w:numPr>
          <w:ilvl w:val="0"/>
          <w:numId w:val="43"/>
        </w:numPr>
      </w:pPr>
      <w:r w:rsidRPr="00152428">
        <w:t>Title 24 Table 120.1-A Minimum Ventilation Rate (code-required minimum)</w:t>
      </w:r>
    </w:p>
    <w:p w14:paraId="324603F0" w14:textId="77777777" w:rsidR="00152428" w:rsidRDefault="00152428" w:rsidP="00152428"/>
    <w:p w14:paraId="4976FAAD" w14:textId="14A60E9C" w:rsidR="00152428" w:rsidRPr="00152428" w:rsidRDefault="00152428" w:rsidP="00152428">
      <w:r w:rsidRPr="00152428">
        <w:t xml:space="preserve">Wherever this value resulted in a lower value than the minimum outdoor air flow rate for the baseline the DCV measure was simulated. </w:t>
      </w:r>
      <w:r w:rsidRPr="00152428">
        <w:fldChar w:fldCharType="begin"/>
      </w:r>
      <w:r w:rsidRPr="00152428">
        <w:instrText xml:space="preserve"> REF _Ref384192027 \h  \* MERGEFORMAT </w:instrText>
      </w:r>
      <w:r w:rsidRPr="00152428">
        <w:fldChar w:fldCharType="separate"/>
      </w:r>
      <w:r w:rsidRPr="00152428">
        <w:t>Table 3</w:t>
      </w:r>
      <w:r w:rsidRPr="00152428">
        <w:fldChar w:fldCharType="end"/>
      </w:r>
      <w:r w:rsidRPr="00152428">
        <w:t xml:space="preserve"> lists the building types and activity area types within each building where this condition was met. For these areas the zone minimum outside airflow was adjusted to the minimum rate that could be supplied. eQUEST includes built-in functionality to simulate DCV by varying outside air flow rate based on the maximum of the rate required for the area and the rate required for the number of occupants in a given hour as described in the DOE-2.2 dictionary pp. 362-363</w:t>
      </w:r>
      <w:r w:rsidRPr="00152428">
        <w:rPr>
          <w:vertAlign w:val="superscript"/>
        </w:rPr>
        <w:endnoteReference w:id="8"/>
      </w:r>
      <w:r w:rsidRPr="00152428">
        <w:t>. Specific keywords modified to represent the measure are shown in</w:t>
      </w:r>
      <w:r>
        <w:t xml:space="preserve"> the table below</w:t>
      </w:r>
      <w:r w:rsidRPr="00152428">
        <w:t>. All other keywords remained consistent from the baseline to the measure.</w:t>
      </w:r>
    </w:p>
    <w:p w14:paraId="21B4FDCB" w14:textId="5D756EC5" w:rsidR="00152428" w:rsidRDefault="00152428" w:rsidP="00152428"/>
    <w:tbl>
      <w:tblPr>
        <w:tblStyle w:val="TableGrid1"/>
        <w:tblW w:w="0" w:type="auto"/>
        <w:tblLook w:val="04A0" w:firstRow="1" w:lastRow="0" w:firstColumn="1" w:lastColumn="0" w:noHBand="0" w:noVBand="1"/>
      </w:tblPr>
      <w:tblGrid>
        <w:gridCol w:w="3438"/>
        <w:gridCol w:w="2790"/>
        <w:gridCol w:w="3150"/>
      </w:tblGrid>
      <w:tr w:rsidR="00152428" w:rsidRPr="005E2443" w14:paraId="18931DB8" w14:textId="77777777" w:rsidTr="00C16E1B">
        <w:tc>
          <w:tcPr>
            <w:tcW w:w="3438" w:type="dxa"/>
            <w:shd w:val="clear" w:color="auto" w:fill="D9D9D9" w:themeFill="background1" w:themeFillShade="D9"/>
          </w:tcPr>
          <w:p w14:paraId="74EE35F2" w14:textId="77777777" w:rsidR="00152428" w:rsidRPr="005E2443" w:rsidRDefault="00152428" w:rsidP="00D417C3">
            <w:pPr>
              <w:rPr>
                <w:rFonts w:cstheme="minorHAnsi"/>
                <w:b/>
                <w:szCs w:val="20"/>
              </w:rPr>
            </w:pPr>
            <w:r w:rsidRPr="005E2443">
              <w:rPr>
                <w:rFonts w:cstheme="minorHAnsi"/>
                <w:b/>
                <w:szCs w:val="20"/>
              </w:rPr>
              <w:t>eQUEST Keyword</w:t>
            </w:r>
          </w:p>
        </w:tc>
        <w:tc>
          <w:tcPr>
            <w:tcW w:w="2790" w:type="dxa"/>
            <w:shd w:val="clear" w:color="auto" w:fill="D9D9D9" w:themeFill="background1" w:themeFillShade="D9"/>
          </w:tcPr>
          <w:p w14:paraId="71986EDC" w14:textId="110D6E43" w:rsidR="00152428" w:rsidRPr="005E2443" w:rsidRDefault="00152428" w:rsidP="00D417C3">
            <w:pPr>
              <w:rPr>
                <w:rFonts w:cstheme="minorHAnsi"/>
                <w:b/>
                <w:szCs w:val="20"/>
              </w:rPr>
            </w:pPr>
            <w:r>
              <w:rPr>
                <w:rFonts w:cstheme="minorHAnsi"/>
                <w:b/>
                <w:szCs w:val="20"/>
              </w:rPr>
              <w:t>Baseline</w:t>
            </w:r>
            <w:r w:rsidRPr="005E2443">
              <w:rPr>
                <w:rFonts w:cstheme="minorHAnsi"/>
                <w:b/>
                <w:szCs w:val="20"/>
              </w:rPr>
              <w:t xml:space="preserve"> Value</w:t>
            </w:r>
          </w:p>
        </w:tc>
        <w:tc>
          <w:tcPr>
            <w:tcW w:w="3150" w:type="dxa"/>
            <w:shd w:val="clear" w:color="auto" w:fill="D9D9D9" w:themeFill="background1" w:themeFillShade="D9"/>
          </w:tcPr>
          <w:p w14:paraId="7FE1E820" w14:textId="77777777" w:rsidR="00152428" w:rsidRPr="005E2443" w:rsidRDefault="00152428" w:rsidP="00D417C3">
            <w:pPr>
              <w:rPr>
                <w:rFonts w:cstheme="minorHAnsi"/>
                <w:b/>
                <w:szCs w:val="20"/>
              </w:rPr>
            </w:pPr>
            <w:r w:rsidRPr="005E2443">
              <w:rPr>
                <w:rFonts w:cstheme="minorHAnsi"/>
                <w:b/>
                <w:szCs w:val="20"/>
              </w:rPr>
              <w:t>Modified Baseline Value</w:t>
            </w:r>
          </w:p>
        </w:tc>
      </w:tr>
      <w:tr w:rsidR="00152428" w:rsidRPr="00043134" w14:paraId="10B1086A" w14:textId="77777777" w:rsidTr="00C16E1B">
        <w:tc>
          <w:tcPr>
            <w:tcW w:w="3438" w:type="dxa"/>
          </w:tcPr>
          <w:p w14:paraId="77657E06" w14:textId="23E4690A" w:rsidR="00152428" w:rsidRPr="00043134" w:rsidRDefault="00152428" w:rsidP="00D417C3">
            <w:pPr>
              <w:rPr>
                <w:rFonts w:cs="Arial"/>
                <w:szCs w:val="22"/>
              </w:rPr>
            </w:pPr>
            <w:r w:rsidRPr="00043134">
              <w:rPr>
                <w:rFonts w:cs="Arial"/>
                <w:szCs w:val="22"/>
              </w:rPr>
              <w:t>ZONE:OA</w:t>
            </w:r>
            <w:r>
              <w:rPr>
                <w:rFonts w:cs="Arial"/>
                <w:szCs w:val="22"/>
              </w:rPr>
              <w:t>-FLOW/AREA</w:t>
            </w:r>
          </w:p>
        </w:tc>
        <w:tc>
          <w:tcPr>
            <w:tcW w:w="2790" w:type="dxa"/>
          </w:tcPr>
          <w:p w14:paraId="193C80E7" w14:textId="77777777" w:rsidR="00152428" w:rsidRPr="00DD3825" w:rsidRDefault="00152428" w:rsidP="00152428">
            <w:r w:rsidRPr="00DD3825">
              <w:t>Set such that ZONE:OA-FLOW/AREA x Zone Area = Maximum of:</w:t>
            </w:r>
          </w:p>
          <w:p w14:paraId="4129DC2F" w14:textId="77777777" w:rsidR="00152428" w:rsidRPr="00DD3825" w:rsidRDefault="00152428" w:rsidP="00152428">
            <w:pPr>
              <w:pStyle w:val="ListParagraph"/>
              <w:numPr>
                <w:ilvl w:val="0"/>
                <w:numId w:val="44"/>
              </w:numPr>
            </w:pPr>
            <w:r w:rsidRPr="00DD3825">
              <w:t>0.2 x Supply Air Flow Rate</w:t>
            </w:r>
          </w:p>
          <w:p w14:paraId="6AD48F41" w14:textId="77777777" w:rsidR="00152428" w:rsidRDefault="00152428" w:rsidP="00152428">
            <w:pPr>
              <w:pStyle w:val="ListParagraph"/>
              <w:numPr>
                <w:ilvl w:val="0"/>
                <w:numId w:val="44"/>
              </w:numPr>
            </w:pPr>
            <w:r w:rsidRPr="00DD3825">
              <w:t>Title 24 Table 120.1-A Minimum Ventilation Rate</w:t>
            </w:r>
          </w:p>
          <w:p w14:paraId="0BA0965B" w14:textId="2555E23A" w:rsidR="00152428" w:rsidRPr="00152428" w:rsidRDefault="00152428" w:rsidP="00C16E1B">
            <w:pPr>
              <w:pStyle w:val="ListParagraph"/>
              <w:numPr>
                <w:ilvl w:val="0"/>
                <w:numId w:val="44"/>
              </w:numPr>
            </w:pPr>
            <w:r w:rsidRPr="00152428">
              <w:t>15 CFM/person* x Peak Occupancy # of People</w:t>
            </w:r>
          </w:p>
        </w:tc>
        <w:tc>
          <w:tcPr>
            <w:tcW w:w="3150" w:type="dxa"/>
          </w:tcPr>
          <w:p w14:paraId="139A3E1D" w14:textId="77777777" w:rsidR="00152428" w:rsidRPr="00DD3825" w:rsidRDefault="00152428" w:rsidP="00152428">
            <w:r w:rsidRPr="00DD3825">
              <w:t>Set such that ZONE:OA-FLOW/AREA x Zone Area = Maximum of:</w:t>
            </w:r>
          </w:p>
          <w:p w14:paraId="6AC6534F" w14:textId="77777777" w:rsidR="00152428" w:rsidRDefault="00152428" w:rsidP="00152428">
            <w:pPr>
              <w:pStyle w:val="ListParagraph"/>
              <w:numPr>
                <w:ilvl w:val="0"/>
                <w:numId w:val="45"/>
              </w:numPr>
            </w:pPr>
            <w:r w:rsidRPr="00DD3825">
              <w:t>0.2 x Supply Air Flow Rate</w:t>
            </w:r>
          </w:p>
          <w:p w14:paraId="5E557D33" w14:textId="40968DAF" w:rsidR="00152428" w:rsidRPr="00152428" w:rsidRDefault="00152428" w:rsidP="00C16E1B">
            <w:pPr>
              <w:pStyle w:val="ListParagraph"/>
              <w:numPr>
                <w:ilvl w:val="0"/>
                <w:numId w:val="45"/>
              </w:numPr>
            </w:pPr>
            <w:r w:rsidRPr="00152428">
              <w:t>Title 24 Table 120.1-A Minimum Ventilation Rate</w:t>
            </w:r>
          </w:p>
        </w:tc>
      </w:tr>
      <w:tr w:rsidR="00152428" w:rsidRPr="00043134" w14:paraId="674D73EE" w14:textId="77777777" w:rsidTr="00C16E1B">
        <w:tc>
          <w:tcPr>
            <w:tcW w:w="3438" w:type="dxa"/>
          </w:tcPr>
          <w:p w14:paraId="76E7441C" w14:textId="0ABB3394" w:rsidR="00152428" w:rsidRPr="00043134" w:rsidRDefault="00152428" w:rsidP="00D417C3">
            <w:pPr>
              <w:rPr>
                <w:rFonts w:cs="Arial"/>
                <w:szCs w:val="22"/>
              </w:rPr>
            </w:pPr>
            <w:r>
              <w:rPr>
                <w:rFonts w:cs="Arial"/>
                <w:szCs w:val="22"/>
              </w:rPr>
              <w:lastRenderedPageBreak/>
              <w:t>SYSTEM:MIN-OA-METHOD</w:t>
            </w:r>
          </w:p>
        </w:tc>
        <w:tc>
          <w:tcPr>
            <w:tcW w:w="2790" w:type="dxa"/>
          </w:tcPr>
          <w:p w14:paraId="212CE7E0" w14:textId="38991E0D" w:rsidR="00152428" w:rsidRPr="00043134" w:rsidRDefault="00152428" w:rsidP="00D417C3">
            <w:pPr>
              <w:rPr>
                <w:rFonts w:cs="Arial"/>
                <w:szCs w:val="22"/>
              </w:rPr>
            </w:pPr>
            <w:r>
              <w:rPr>
                <w:rFonts w:cs="Arial"/>
                <w:szCs w:val="22"/>
              </w:rPr>
              <w:t>FRACTION-OF-DESIGN</w:t>
            </w:r>
          </w:p>
        </w:tc>
        <w:tc>
          <w:tcPr>
            <w:tcW w:w="3150" w:type="dxa"/>
          </w:tcPr>
          <w:p w14:paraId="52C84009" w14:textId="307809DF" w:rsidR="00152428" w:rsidRPr="00043134" w:rsidRDefault="00152428" w:rsidP="00D417C3">
            <w:pPr>
              <w:rPr>
                <w:rFonts w:cs="Arial"/>
                <w:szCs w:val="22"/>
              </w:rPr>
            </w:pPr>
            <w:r>
              <w:rPr>
                <w:rFonts w:cs="Arial"/>
                <w:szCs w:val="22"/>
              </w:rPr>
              <w:t>DCV-ZONE-SENSORS</w:t>
            </w:r>
          </w:p>
        </w:tc>
      </w:tr>
    </w:tbl>
    <w:p w14:paraId="0CAACF46" w14:textId="12F968EE" w:rsidR="00152428" w:rsidRPr="00C16E1B" w:rsidRDefault="00152428" w:rsidP="00152428">
      <w:pPr>
        <w:rPr>
          <w:sz w:val="20"/>
          <w:szCs w:val="20"/>
        </w:rPr>
      </w:pPr>
      <w:r w:rsidRPr="00C16E1B">
        <w:rPr>
          <w:sz w:val="20"/>
          <w:szCs w:val="20"/>
        </w:rPr>
        <w:t>*Outside air ventilation rate per person required by Title 24 2016 §120.1(b)2B</w:t>
      </w:r>
    </w:p>
    <w:p w14:paraId="63E17E01" w14:textId="6F7E4CB0" w:rsidR="00F35997" w:rsidRDefault="00F35997" w:rsidP="00F35997">
      <w:pPr>
        <w:pStyle w:val="Heading2"/>
        <w:rPr>
          <w:rFonts w:asciiTheme="minorHAnsi" w:hAnsiTheme="minorHAnsi" w:cstheme="minorHAnsi"/>
        </w:rPr>
      </w:pPr>
      <w:r w:rsidRPr="00CF18F0">
        <w:rPr>
          <w:rFonts w:asciiTheme="minorHAnsi" w:hAnsiTheme="minorHAnsi" w:cstheme="minorHAnsi"/>
        </w:rPr>
        <w:t xml:space="preserve">2.2 </w:t>
      </w:r>
      <w:r w:rsidR="000C73BD">
        <w:rPr>
          <w:rFonts w:asciiTheme="minorHAnsi" w:hAnsiTheme="minorHAnsi" w:cstheme="minorHAnsi"/>
        </w:rPr>
        <w:t>Electric Energy Savings Estimation Methodologies</w:t>
      </w:r>
    </w:p>
    <w:p w14:paraId="573AF834" w14:textId="505D3508" w:rsidR="00152428" w:rsidRDefault="000C73BD" w:rsidP="00152428">
      <w:r>
        <w:t>As an add-on measure, a single baseline calculation is required. The electric energy savings from the first baseline are represented in the calculations below.</w:t>
      </w:r>
    </w:p>
    <w:p w14:paraId="22C86221" w14:textId="24809C5A" w:rsidR="000C73BD" w:rsidRDefault="000C73BD" w:rsidP="00152428"/>
    <w:p w14:paraId="74FAEFF3" w14:textId="4EE21514" w:rsidR="000C73BD" w:rsidRPr="000C73BD" w:rsidRDefault="000C73BD" w:rsidP="00152428">
      <w:pPr>
        <w:rPr>
          <w:sz w:val="24"/>
        </w:rPr>
      </w:pPr>
      <m:oMathPara>
        <m:oMath>
          <m:r>
            <w:rPr>
              <w:rFonts w:ascii="Cambria Math" w:hAnsi="Cambria Math" w:cs="Arial"/>
              <w:sz w:val="24"/>
            </w:rPr>
            <m:t>kWh per ton savings=</m:t>
          </m:r>
          <m:f>
            <m:fPr>
              <m:ctrlPr>
                <w:rPr>
                  <w:rFonts w:ascii="Cambria Math" w:hAnsi="Cambria Math" w:cs="Arial"/>
                  <w:i/>
                  <w:sz w:val="24"/>
                </w:rPr>
              </m:ctrlPr>
            </m:fPr>
            <m:num>
              <m:r>
                <w:rPr>
                  <w:rFonts w:ascii="Cambria Math" w:hAnsi="Cambria Math" w:cs="Arial"/>
                  <w:sz w:val="24"/>
                </w:rPr>
                <m:t>baseline kWh-measure kWh</m:t>
              </m:r>
            </m:num>
            <m:den>
              <m:r>
                <w:rPr>
                  <w:rFonts w:ascii="Cambria Math" w:hAnsi="Cambria Math" w:cs="Arial"/>
                  <w:sz w:val="24"/>
                </w:rPr>
                <m:t>cooling tons</m:t>
              </m:r>
            </m:den>
          </m:f>
        </m:oMath>
      </m:oMathPara>
    </w:p>
    <w:p w14:paraId="2D20EA63" w14:textId="41B799F0" w:rsidR="000C73BD" w:rsidRDefault="000C73BD" w:rsidP="00152428"/>
    <w:p w14:paraId="1A439F83" w14:textId="77777777" w:rsidR="000C73BD" w:rsidRPr="00DD3825" w:rsidRDefault="000C73BD" w:rsidP="000C73BD">
      <w:pPr>
        <w:rPr>
          <w:rFonts w:cs="Arial"/>
          <w:i/>
          <w:sz w:val="20"/>
          <w:szCs w:val="20"/>
        </w:rPr>
      </w:pPr>
      <w:r w:rsidRPr="00DD3825">
        <w:rPr>
          <w:rFonts w:cs="Arial"/>
          <w:i/>
          <w:sz w:val="20"/>
          <w:szCs w:val="20"/>
        </w:rPr>
        <w:t>Where:</w:t>
      </w:r>
    </w:p>
    <w:p w14:paraId="2F4B1DE9" w14:textId="77777777" w:rsidR="000C73BD" w:rsidRPr="00DD3825" w:rsidRDefault="000C73BD" w:rsidP="000C73BD">
      <w:pPr>
        <w:rPr>
          <w:rFonts w:cs="Arial"/>
          <w:i/>
          <w:sz w:val="20"/>
          <w:szCs w:val="20"/>
        </w:rPr>
      </w:pPr>
      <w:r w:rsidRPr="00DD3825">
        <w:rPr>
          <w:rFonts w:cs="Arial"/>
          <w:i/>
          <w:sz w:val="20"/>
          <w:szCs w:val="20"/>
        </w:rPr>
        <w:t>kWh per ton savings = annual unit energy savings</w:t>
      </w:r>
    </w:p>
    <w:p w14:paraId="6FC74BC2" w14:textId="77777777" w:rsidR="000C73BD" w:rsidRPr="00DD3825" w:rsidRDefault="000C73BD" w:rsidP="000C73BD">
      <w:pPr>
        <w:rPr>
          <w:rFonts w:cs="Arial"/>
          <w:i/>
          <w:sz w:val="20"/>
          <w:szCs w:val="20"/>
        </w:rPr>
      </w:pPr>
      <w:r w:rsidRPr="00DD3825">
        <w:rPr>
          <w:rFonts w:cs="Arial"/>
          <w:i/>
          <w:sz w:val="20"/>
          <w:szCs w:val="20"/>
        </w:rPr>
        <w:t>baseline kWh = annual building energy consumption of customer average baseline</w:t>
      </w:r>
    </w:p>
    <w:p w14:paraId="4BB242B1" w14:textId="77777777" w:rsidR="000C73BD" w:rsidRPr="00DD3825" w:rsidRDefault="000C73BD" w:rsidP="000C73BD">
      <w:pPr>
        <w:rPr>
          <w:rFonts w:cs="Arial"/>
          <w:i/>
          <w:sz w:val="20"/>
          <w:szCs w:val="20"/>
        </w:rPr>
      </w:pPr>
      <w:r w:rsidRPr="00DD3825">
        <w:rPr>
          <w:rFonts w:cs="Arial"/>
          <w:i/>
          <w:sz w:val="20"/>
          <w:szCs w:val="20"/>
        </w:rPr>
        <w:t>measure kWh = annual building energy consumption of measure</w:t>
      </w:r>
    </w:p>
    <w:p w14:paraId="10B56BD3" w14:textId="77777777" w:rsidR="000C73BD" w:rsidRPr="00DD3825" w:rsidRDefault="000C73BD" w:rsidP="000C73BD">
      <w:pPr>
        <w:rPr>
          <w:rFonts w:cs="Arial"/>
          <w:i/>
          <w:sz w:val="20"/>
          <w:szCs w:val="20"/>
        </w:rPr>
      </w:pPr>
      <w:r w:rsidRPr="00DD3825">
        <w:rPr>
          <w:rFonts w:cs="Arial"/>
          <w:i/>
          <w:sz w:val="20"/>
          <w:szCs w:val="20"/>
        </w:rPr>
        <w:t>cooling tons = cooling capacity of units measure was applied to (Btu/h) divided by 12,000 (Btu/h per ton)</w:t>
      </w:r>
    </w:p>
    <w:p w14:paraId="1AF64A3B" w14:textId="77777777" w:rsidR="000C73BD" w:rsidRPr="00DD3825" w:rsidRDefault="000C73BD" w:rsidP="000C73BD">
      <w:pPr>
        <w:rPr>
          <w:rFonts w:cs="Arial"/>
          <w:i/>
          <w:sz w:val="20"/>
          <w:szCs w:val="20"/>
        </w:rPr>
      </w:pPr>
    </w:p>
    <w:p w14:paraId="758A8555" w14:textId="77777777" w:rsidR="000C73BD" w:rsidRPr="00DD3825" w:rsidRDefault="000C73BD" w:rsidP="000C73BD">
      <w:r w:rsidRPr="00DD3825">
        <w:t xml:space="preserve">A sample calculation using a 1985 vintage assembly (Asm) prototype using AC with gas heat located in climate zone 11 is provided below. </w:t>
      </w:r>
    </w:p>
    <w:p w14:paraId="5E2A0E28" w14:textId="77777777" w:rsidR="000C73BD" w:rsidRPr="00DD3825" w:rsidRDefault="000C73BD" w:rsidP="000C73BD"/>
    <w:p w14:paraId="0E6DED2D" w14:textId="15B866E2" w:rsidR="000C73BD" w:rsidRPr="00DD3825" w:rsidRDefault="000C73BD" w:rsidP="000C73BD">
      <w:r w:rsidRPr="00DD3825">
        <w:t xml:space="preserve">The DEER Asm prototype consists of five zones total as depicted in </w:t>
      </w:r>
      <w:r w:rsidRPr="00DD3825">
        <w:fldChar w:fldCharType="begin"/>
      </w:r>
      <w:r w:rsidRPr="00DD3825">
        <w:instrText xml:space="preserve"> REF _Ref384721027 \h </w:instrText>
      </w:r>
      <w:r>
        <w:instrText xml:space="preserve"> \* MERGEFORMAT </w:instrText>
      </w:r>
      <w:r w:rsidRPr="00DD3825">
        <w:fldChar w:fldCharType="separate"/>
      </w:r>
      <w:r w:rsidRPr="00DD3825">
        <w:t xml:space="preserve">Figure </w:t>
      </w:r>
      <w:r>
        <w:rPr>
          <w:noProof/>
        </w:rPr>
        <w:t>1</w:t>
      </w:r>
      <w:r w:rsidRPr="00DD3825">
        <w:fldChar w:fldCharType="end"/>
      </w:r>
      <w:r w:rsidRPr="00DD3825">
        <w:t>. The four smaller zones in the corners of the building represent office spaces with peak occupant densities of under 7 people per 1</w:t>
      </w:r>
      <w:r>
        <w:t>,</w:t>
      </w:r>
      <w:r w:rsidRPr="00DD3825">
        <w:t>000 square feet. The central zone represents an auditorium space with a peak occupant density of over 95 people per 1</w:t>
      </w:r>
      <w:r>
        <w:t>,</w:t>
      </w:r>
      <w:r w:rsidRPr="00DD3825">
        <w:t xml:space="preserve">000 square feet. For assembly buildings it was determined that DCV could be used to reduce the minimum ventilation rate required for the central auditorium zone, but that DCV could not be used effectively in the corner office zones. The DCV measure was therefore simulated only on the central auditorium zone, and the savings were divided by the cooling capacity in tons of the system that serves only that zone. </w:t>
      </w:r>
    </w:p>
    <w:p w14:paraId="2A308641" w14:textId="77777777" w:rsidR="000C73BD" w:rsidRPr="00DD3825" w:rsidRDefault="000C73BD" w:rsidP="000C73BD"/>
    <w:p w14:paraId="229B3A37" w14:textId="77777777" w:rsidR="000C73BD" w:rsidRPr="00DD3825" w:rsidRDefault="000C73BD" w:rsidP="000C73BD">
      <w:pPr>
        <w:keepNext/>
      </w:pPr>
      <w:r w:rsidRPr="00DD3825">
        <w:rPr>
          <w:noProof/>
          <w:lang w:eastAsia="zh-CN"/>
        </w:rPr>
        <w:drawing>
          <wp:inline distT="0" distB="0" distL="0" distR="0" wp14:anchorId="2B093D6E" wp14:editId="1C867968">
            <wp:extent cx="5943600" cy="2708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2708275"/>
                    </a:xfrm>
                    <a:prstGeom prst="rect">
                      <a:avLst/>
                    </a:prstGeom>
                  </pic:spPr>
                </pic:pic>
              </a:graphicData>
            </a:graphic>
          </wp:inline>
        </w:drawing>
      </w:r>
    </w:p>
    <w:p w14:paraId="38151836" w14:textId="77777777" w:rsidR="000C73BD" w:rsidRPr="00DD3825" w:rsidRDefault="000C73BD" w:rsidP="000C73BD">
      <w:pPr>
        <w:pStyle w:val="Caption"/>
        <w:jc w:val="center"/>
      </w:pPr>
      <w:bookmarkStart w:id="27" w:name="_Ref384721027"/>
      <w:bookmarkStart w:id="28" w:name="_Ref384721023"/>
      <w:bookmarkStart w:id="29" w:name="_Toc386811762"/>
      <w:r w:rsidRPr="00DD3825">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bookmarkEnd w:id="27"/>
      <w:r w:rsidRPr="00DD3825">
        <w:t xml:space="preserve"> DEER Asm Prototype with DCV Zone Outlined</w:t>
      </w:r>
      <w:bookmarkEnd w:id="28"/>
      <w:bookmarkEnd w:id="29"/>
    </w:p>
    <w:p w14:paraId="1C4EAD5B" w14:textId="77777777" w:rsidR="000C73BD" w:rsidRPr="00DD3825" w:rsidRDefault="000C73BD" w:rsidP="000C73BD"/>
    <w:p w14:paraId="115D3874" w14:textId="10425612" w:rsidR="000C73BD" w:rsidRPr="00DD3825" w:rsidRDefault="00D8122F" w:rsidP="000C73BD">
      <w:r>
        <w:lastRenderedPageBreak/>
        <w:fldChar w:fldCharType="begin"/>
      </w:r>
      <w:r>
        <w:instrText xml:space="preserve"> REF _Ref520717305 \h </w:instrText>
      </w:r>
      <w:r>
        <w:fldChar w:fldCharType="separate"/>
      </w:r>
      <w:r>
        <w:t xml:space="preserve">Table </w:t>
      </w:r>
      <w:r>
        <w:rPr>
          <w:noProof/>
        </w:rPr>
        <w:t>5</w:t>
      </w:r>
      <w:r>
        <w:fldChar w:fldCharType="end"/>
      </w:r>
      <w:r>
        <w:t xml:space="preserve"> </w:t>
      </w:r>
      <w:r w:rsidR="000C73BD" w:rsidRPr="00DD3825">
        <w:t xml:space="preserve">provides electric energy use and cooling capacity data for the baseline and measure case on the Asm prototype approximating a building constructed in 1986 in climate zone 11. </w:t>
      </w:r>
    </w:p>
    <w:p w14:paraId="404B7D0D" w14:textId="3DFF8E17" w:rsidR="000C73BD" w:rsidRDefault="000C73BD" w:rsidP="000C73BD"/>
    <w:p w14:paraId="6448AEED" w14:textId="70B3D742" w:rsidR="000C73BD" w:rsidRDefault="000C73BD" w:rsidP="00C16E1B">
      <w:pPr>
        <w:pStyle w:val="Caption"/>
        <w:keepNext/>
      </w:pPr>
      <w:bookmarkStart w:id="30" w:name="_Ref520717305"/>
      <w:r>
        <w:t xml:space="preserve">Table </w:t>
      </w:r>
      <w:fldSimple w:instr=" SEQ Table \* ARABIC ">
        <w:r w:rsidR="00064E9D">
          <w:rPr>
            <w:noProof/>
          </w:rPr>
          <w:t>5</w:t>
        </w:r>
      </w:fldSimple>
      <w:bookmarkEnd w:id="30"/>
      <w:r>
        <w:t xml:space="preserve"> Asm cz11 v85 AC with Gas Heat Electric Energy Use and Cooling Capacity Data</w:t>
      </w:r>
    </w:p>
    <w:tbl>
      <w:tblPr>
        <w:tblStyle w:val="TableGrid"/>
        <w:tblW w:w="0" w:type="auto"/>
        <w:tblLook w:val="04A0" w:firstRow="1" w:lastRow="0" w:firstColumn="1" w:lastColumn="0" w:noHBand="0" w:noVBand="1"/>
      </w:tblPr>
      <w:tblGrid>
        <w:gridCol w:w="3192"/>
        <w:gridCol w:w="3192"/>
        <w:gridCol w:w="3192"/>
      </w:tblGrid>
      <w:tr w:rsidR="000C73BD" w14:paraId="1DFE7B64" w14:textId="77777777" w:rsidTr="000C73BD">
        <w:tc>
          <w:tcPr>
            <w:tcW w:w="3192" w:type="dxa"/>
          </w:tcPr>
          <w:p w14:paraId="79016F0D" w14:textId="77777777" w:rsidR="000C73BD" w:rsidRPr="00C16E1B" w:rsidRDefault="000C73BD" w:rsidP="000C73BD">
            <w:pPr>
              <w:rPr>
                <w:b/>
                <w:sz w:val="20"/>
                <w:szCs w:val="20"/>
              </w:rPr>
            </w:pPr>
          </w:p>
        </w:tc>
        <w:tc>
          <w:tcPr>
            <w:tcW w:w="3192" w:type="dxa"/>
          </w:tcPr>
          <w:p w14:paraId="470E416E" w14:textId="279DC7FC" w:rsidR="000C73BD" w:rsidRPr="00C16E1B" w:rsidRDefault="000C73BD" w:rsidP="000C73BD">
            <w:pPr>
              <w:rPr>
                <w:b/>
                <w:sz w:val="20"/>
                <w:szCs w:val="20"/>
              </w:rPr>
            </w:pPr>
            <w:r w:rsidRPr="00C16E1B">
              <w:rPr>
                <w:b/>
                <w:sz w:val="20"/>
                <w:szCs w:val="20"/>
              </w:rPr>
              <w:t>Baseline</w:t>
            </w:r>
          </w:p>
        </w:tc>
        <w:tc>
          <w:tcPr>
            <w:tcW w:w="3192" w:type="dxa"/>
          </w:tcPr>
          <w:p w14:paraId="08F0EE9C" w14:textId="23DE1ADD" w:rsidR="000C73BD" w:rsidRPr="00C16E1B" w:rsidRDefault="000C73BD" w:rsidP="000C73BD">
            <w:pPr>
              <w:rPr>
                <w:b/>
                <w:sz w:val="20"/>
                <w:szCs w:val="20"/>
              </w:rPr>
            </w:pPr>
            <w:r w:rsidRPr="00C16E1B">
              <w:rPr>
                <w:b/>
                <w:sz w:val="20"/>
                <w:szCs w:val="20"/>
              </w:rPr>
              <w:t>Measure</w:t>
            </w:r>
          </w:p>
        </w:tc>
      </w:tr>
      <w:tr w:rsidR="000C73BD" w14:paraId="54B2A607" w14:textId="77777777" w:rsidTr="000C73BD">
        <w:tc>
          <w:tcPr>
            <w:tcW w:w="3192" w:type="dxa"/>
          </w:tcPr>
          <w:p w14:paraId="46D05EF4" w14:textId="0E7613BA" w:rsidR="000C73BD" w:rsidRPr="00C16E1B" w:rsidRDefault="000C73BD" w:rsidP="000C73BD">
            <w:pPr>
              <w:rPr>
                <w:sz w:val="20"/>
                <w:szCs w:val="20"/>
              </w:rPr>
            </w:pPr>
            <w:r w:rsidRPr="00C16E1B">
              <w:rPr>
                <w:sz w:val="20"/>
                <w:szCs w:val="20"/>
              </w:rPr>
              <w:t>Whole</w:t>
            </w:r>
            <w:r>
              <w:rPr>
                <w:sz w:val="20"/>
                <w:szCs w:val="20"/>
              </w:rPr>
              <w:t xml:space="preserve"> building energy use (kWh/yr)</w:t>
            </w:r>
          </w:p>
        </w:tc>
        <w:tc>
          <w:tcPr>
            <w:tcW w:w="3192" w:type="dxa"/>
          </w:tcPr>
          <w:p w14:paraId="42D79640" w14:textId="1E2937E9" w:rsidR="000C73BD" w:rsidRPr="00C16E1B" w:rsidRDefault="00AC73E5" w:rsidP="000C73BD">
            <w:pPr>
              <w:rPr>
                <w:sz w:val="20"/>
                <w:szCs w:val="20"/>
              </w:rPr>
            </w:pPr>
            <w:r>
              <w:rPr>
                <w:sz w:val="20"/>
                <w:szCs w:val="20"/>
              </w:rPr>
              <w:t>710,604</w:t>
            </w:r>
          </w:p>
        </w:tc>
        <w:tc>
          <w:tcPr>
            <w:tcW w:w="3192" w:type="dxa"/>
          </w:tcPr>
          <w:p w14:paraId="63ABE665" w14:textId="74B92534" w:rsidR="000C73BD" w:rsidRPr="00C16E1B" w:rsidRDefault="005A4518" w:rsidP="000C73BD">
            <w:pPr>
              <w:rPr>
                <w:sz w:val="20"/>
                <w:szCs w:val="20"/>
              </w:rPr>
            </w:pPr>
            <w:r>
              <w:rPr>
                <w:sz w:val="20"/>
                <w:szCs w:val="20"/>
              </w:rPr>
              <w:t>692,824</w:t>
            </w:r>
          </w:p>
        </w:tc>
      </w:tr>
      <w:tr w:rsidR="000C73BD" w14:paraId="7168E026" w14:textId="77777777" w:rsidTr="000C73BD">
        <w:tc>
          <w:tcPr>
            <w:tcW w:w="3192" w:type="dxa"/>
          </w:tcPr>
          <w:p w14:paraId="6498459D" w14:textId="79E5BA93" w:rsidR="000C73BD" w:rsidRPr="00C16E1B" w:rsidRDefault="000C73BD" w:rsidP="000C73BD">
            <w:pPr>
              <w:rPr>
                <w:sz w:val="20"/>
                <w:szCs w:val="20"/>
              </w:rPr>
            </w:pPr>
            <w:r>
              <w:rPr>
                <w:sz w:val="20"/>
                <w:szCs w:val="20"/>
              </w:rPr>
              <w:t>System cooling capacity (Btu/h)</w:t>
            </w:r>
          </w:p>
        </w:tc>
        <w:tc>
          <w:tcPr>
            <w:tcW w:w="3192" w:type="dxa"/>
          </w:tcPr>
          <w:p w14:paraId="40B38787" w14:textId="20DC9DDE" w:rsidR="000C73BD" w:rsidRPr="00C16E1B" w:rsidRDefault="005A4518" w:rsidP="000C73BD">
            <w:pPr>
              <w:rPr>
                <w:sz w:val="20"/>
                <w:szCs w:val="20"/>
              </w:rPr>
            </w:pPr>
            <w:r>
              <w:rPr>
                <w:sz w:val="20"/>
                <w:szCs w:val="20"/>
              </w:rPr>
              <w:t>2,446,370</w:t>
            </w:r>
          </w:p>
        </w:tc>
        <w:tc>
          <w:tcPr>
            <w:tcW w:w="3192" w:type="dxa"/>
          </w:tcPr>
          <w:p w14:paraId="42632AAC" w14:textId="015AB233" w:rsidR="000C73BD" w:rsidRPr="00C16E1B" w:rsidRDefault="005A4518" w:rsidP="000C73BD">
            <w:pPr>
              <w:rPr>
                <w:sz w:val="20"/>
                <w:szCs w:val="20"/>
              </w:rPr>
            </w:pPr>
            <w:r>
              <w:rPr>
                <w:sz w:val="20"/>
                <w:szCs w:val="20"/>
              </w:rPr>
              <w:t>2,446,370</w:t>
            </w:r>
          </w:p>
        </w:tc>
      </w:tr>
    </w:tbl>
    <w:p w14:paraId="0FFAD323" w14:textId="77777777" w:rsidR="000C73BD" w:rsidRPr="00DD3825" w:rsidRDefault="000C73BD" w:rsidP="000C73BD"/>
    <w:p w14:paraId="0FB0735D" w14:textId="09106EC5" w:rsidR="005A4518" w:rsidRPr="005A4518" w:rsidRDefault="005A4518" w:rsidP="00152428">
      <w:pPr>
        <w:rPr>
          <w:sz w:val="24"/>
        </w:rPr>
      </w:pPr>
      <m:oMathPara>
        <m:oMath>
          <m:r>
            <w:rPr>
              <w:rFonts w:ascii="Cambria Math" w:hAnsi="Cambria Math"/>
              <w:sz w:val="24"/>
            </w:rPr>
            <m:t>87.2</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kWh</m:t>
                  </m:r>
                </m:num>
                <m:den>
                  <m:r>
                    <w:rPr>
                      <w:rFonts w:ascii="Cambria Math" w:hAnsi="Cambria Math"/>
                      <w:sz w:val="24"/>
                    </w:rPr>
                    <m:t>ton x year</m:t>
                  </m:r>
                </m:den>
              </m:f>
            </m:e>
          </m:d>
          <m:r>
            <w:rPr>
              <w:rFonts w:ascii="Cambria Math" w:hAnsi="Cambria Math"/>
              <w:sz w:val="24"/>
            </w:rPr>
            <m:t>=</m:t>
          </m:r>
          <m:f>
            <m:fPr>
              <m:ctrlPr>
                <w:rPr>
                  <w:rFonts w:ascii="Cambria Math" w:hAnsi="Cambria Math"/>
                  <w:i/>
                  <w:sz w:val="24"/>
                </w:rPr>
              </m:ctrlPr>
            </m:fPr>
            <m:num>
              <m:r>
                <w:rPr>
                  <w:rFonts w:ascii="Cambria Math" w:hAnsi="Cambria Math"/>
                  <w:sz w:val="24"/>
                </w:rPr>
                <m:t>710,604.0</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kWh</m:t>
                      </m:r>
                    </m:num>
                    <m:den>
                      <m:r>
                        <w:rPr>
                          <w:rFonts w:ascii="Cambria Math" w:hAnsi="Cambria Math"/>
                          <w:sz w:val="24"/>
                        </w:rPr>
                        <m:t>year</m:t>
                      </m:r>
                    </m:den>
                  </m:f>
                </m:e>
              </m:d>
              <m:r>
                <w:rPr>
                  <w:rFonts w:ascii="Cambria Math" w:hAnsi="Cambria Math"/>
                  <w:sz w:val="24"/>
                </w:rPr>
                <m:t>-692,824.0</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kWh</m:t>
                      </m:r>
                    </m:num>
                    <m:den>
                      <m:r>
                        <w:rPr>
                          <w:rFonts w:ascii="Cambria Math" w:hAnsi="Cambria Math"/>
                          <w:sz w:val="24"/>
                        </w:rPr>
                        <m:t>year</m:t>
                      </m:r>
                    </m:den>
                  </m:f>
                </m:e>
              </m:d>
            </m:num>
            <m:den>
              <m:r>
                <w:rPr>
                  <w:rFonts w:ascii="Cambria Math" w:hAnsi="Cambria Math"/>
                  <w:sz w:val="24"/>
                </w:rPr>
                <m:t>2,446,370</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Btu</m:t>
                      </m:r>
                    </m:num>
                    <m:den>
                      <m:r>
                        <w:rPr>
                          <w:rFonts w:ascii="Cambria Math" w:hAnsi="Cambria Math"/>
                          <w:sz w:val="24"/>
                        </w:rPr>
                        <m:t>h</m:t>
                      </m:r>
                    </m:den>
                  </m:f>
                </m:e>
              </m:d>
              <m:r>
                <w:rPr>
                  <w:rFonts w:ascii="Cambria Math" w:hAnsi="Cambria Math"/>
                  <w:sz w:val="24"/>
                </w:rPr>
                <m:t>/12,000</m:t>
              </m:r>
              <m:d>
                <m:dPr>
                  <m:ctrlPr>
                    <w:rPr>
                      <w:rFonts w:ascii="Cambria Math" w:hAnsi="Cambria Math"/>
                      <w:i/>
                      <w:sz w:val="24"/>
                    </w:rPr>
                  </m:ctrlPr>
                </m:d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Btu</m:t>
                          </m:r>
                        </m:num>
                        <m:den>
                          <m:r>
                            <w:rPr>
                              <w:rFonts w:ascii="Cambria Math" w:hAnsi="Cambria Math"/>
                              <w:sz w:val="24"/>
                            </w:rPr>
                            <m:t>h</m:t>
                          </m:r>
                        </m:den>
                      </m:f>
                    </m:e>
                  </m:d>
                  <m:r>
                    <w:rPr>
                      <w:rFonts w:ascii="Cambria Math" w:hAnsi="Cambria Math"/>
                      <w:sz w:val="24"/>
                    </w:rPr>
                    <m:t>/ton</m:t>
                  </m:r>
                </m:e>
              </m:d>
            </m:den>
          </m:f>
        </m:oMath>
      </m:oMathPara>
    </w:p>
    <w:p w14:paraId="567636C2" w14:textId="0141A6ED" w:rsidR="005A4518" w:rsidRDefault="005A4518" w:rsidP="005A4518">
      <w:pPr>
        <w:pStyle w:val="Heading2"/>
        <w:rPr>
          <w:rFonts w:asciiTheme="minorHAnsi" w:hAnsiTheme="minorHAnsi"/>
        </w:rPr>
      </w:pPr>
      <w:r w:rsidRPr="00C16E1B">
        <w:rPr>
          <w:rFonts w:asciiTheme="minorHAnsi" w:hAnsiTheme="minorHAnsi"/>
        </w:rPr>
        <w:t>2.</w:t>
      </w:r>
      <w:r w:rsidR="00667BF0">
        <w:rPr>
          <w:rFonts w:asciiTheme="minorHAnsi" w:hAnsiTheme="minorHAnsi"/>
        </w:rPr>
        <w:t>3</w:t>
      </w:r>
      <w:r w:rsidRPr="00C16E1B">
        <w:rPr>
          <w:rFonts w:asciiTheme="minorHAnsi" w:hAnsiTheme="minorHAnsi"/>
        </w:rPr>
        <w:t xml:space="preserve"> </w:t>
      </w:r>
      <w:r>
        <w:rPr>
          <w:rFonts w:asciiTheme="minorHAnsi" w:hAnsiTheme="minorHAnsi"/>
        </w:rPr>
        <w:t>Demand Reduction</w:t>
      </w:r>
      <w:r w:rsidRPr="00C16E1B">
        <w:rPr>
          <w:rFonts w:asciiTheme="minorHAnsi" w:hAnsiTheme="minorHAnsi"/>
        </w:rPr>
        <w:t xml:space="preserve"> Estimation Methodologies</w:t>
      </w:r>
    </w:p>
    <w:p w14:paraId="2935EDB2" w14:textId="77777777" w:rsidR="005A4518" w:rsidRPr="005A4518" w:rsidRDefault="005A4518" w:rsidP="005A4518">
      <w:r w:rsidRPr="005A4518">
        <w:t>Demand reduction estimates must consider the DEER peak demand period. The peak period is defined as 2:00 PM to 5:00 PM on three specific weekdays and varies by climate zone as shown in the following table</w:t>
      </w:r>
      <w:r w:rsidRPr="005A4518">
        <w:rPr>
          <w:vertAlign w:val="superscript"/>
        </w:rPr>
        <w:endnoteReference w:id="9"/>
      </w:r>
      <w:r w:rsidRPr="005A4518">
        <w:t>:</w:t>
      </w:r>
    </w:p>
    <w:p w14:paraId="5209880E" w14:textId="2586A075" w:rsidR="005A4518" w:rsidRDefault="005A4518" w:rsidP="005A4518"/>
    <w:p w14:paraId="38C6759B" w14:textId="77777777" w:rsidR="005A4518" w:rsidRPr="00C16E1B" w:rsidRDefault="005A4518" w:rsidP="005A4518"/>
    <w:tbl>
      <w:tblPr>
        <w:tblStyle w:val="TableGrid1"/>
        <w:tblW w:w="4236" w:type="pct"/>
        <w:tblCellMar>
          <w:left w:w="115" w:type="dxa"/>
          <w:right w:w="115" w:type="dxa"/>
        </w:tblCellMar>
        <w:tblLook w:val="01E0" w:firstRow="1" w:lastRow="1" w:firstColumn="1" w:lastColumn="1" w:noHBand="0" w:noVBand="0"/>
      </w:tblPr>
      <w:tblGrid>
        <w:gridCol w:w="1735"/>
        <w:gridCol w:w="2251"/>
        <w:gridCol w:w="1888"/>
        <w:gridCol w:w="2251"/>
      </w:tblGrid>
      <w:tr w:rsidR="005A4518" w:rsidRPr="00D8122F" w14:paraId="2B6B4765" w14:textId="77777777" w:rsidTr="00D417C3">
        <w:tc>
          <w:tcPr>
            <w:tcW w:w="1068" w:type="pct"/>
            <w:shd w:val="clear" w:color="auto" w:fill="D9D9D9" w:themeFill="background1" w:themeFillShade="D9"/>
            <w:vAlign w:val="center"/>
          </w:tcPr>
          <w:p w14:paraId="52B567F6" w14:textId="77777777" w:rsidR="005A4518" w:rsidRPr="00C16E1B" w:rsidRDefault="005A4518" w:rsidP="005A4518">
            <w:pPr>
              <w:rPr>
                <w:b/>
                <w:szCs w:val="20"/>
              </w:rPr>
            </w:pPr>
            <w:r w:rsidRPr="00962CC3">
              <w:rPr>
                <w:b/>
                <w:szCs w:val="20"/>
              </w:rPr>
              <w:t>Climate Zone</w:t>
            </w:r>
          </w:p>
        </w:tc>
        <w:tc>
          <w:tcPr>
            <w:tcW w:w="1385" w:type="pct"/>
            <w:shd w:val="clear" w:color="auto" w:fill="D9D9D9" w:themeFill="background1" w:themeFillShade="D9"/>
            <w:vAlign w:val="center"/>
          </w:tcPr>
          <w:p w14:paraId="14623145" w14:textId="77777777" w:rsidR="005A4518" w:rsidRPr="00C16E1B" w:rsidRDefault="005A4518" w:rsidP="005A4518">
            <w:pPr>
              <w:rPr>
                <w:b/>
                <w:szCs w:val="20"/>
              </w:rPr>
            </w:pPr>
            <w:r w:rsidRPr="00962CC3">
              <w:rPr>
                <w:b/>
                <w:szCs w:val="20"/>
              </w:rPr>
              <w:t>3-Weekday Period</w:t>
            </w:r>
          </w:p>
        </w:tc>
        <w:tc>
          <w:tcPr>
            <w:tcW w:w="1162" w:type="pct"/>
            <w:shd w:val="clear" w:color="auto" w:fill="D9D9D9" w:themeFill="background1" w:themeFillShade="D9"/>
            <w:vAlign w:val="center"/>
          </w:tcPr>
          <w:p w14:paraId="1608E2EF" w14:textId="77777777" w:rsidR="005A4518" w:rsidRPr="00C16E1B" w:rsidRDefault="005A4518" w:rsidP="005A4518">
            <w:pPr>
              <w:rPr>
                <w:b/>
                <w:szCs w:val="20"/>
              </w:rPr>
            </w:pPr>
            <w:r w:rsidRPr="00962CC3">
              <w:rPr>
                <w:b/>
                <w:szCs w:val="20"/>
              </w:rPr>
              <w:t>Climate Zone</w:t>
            </w:r>
          </w:p>
        </w:tc>
        <w:tc>
          <w:tcPr>
            <w:tcW w:w="1385" w:type="pct"/>
            <w:shd w:val="clear" w:color="auto" w:fill="D9D9D9" w:themeFill="background1" w:themeFillShade="D9"/>
            <w:vAlign w:val="center"/>
          </w:tcPr>
          <w:p w14:paraId="6DF6AD82" w14:textId="77777777" w:rsidR="005A4518" w:rsidRPr="00C16E1B" w:rsidRDefault="005A4518" w:rsidP="005A4518">
            <w:pPr>
              <w:rPr>
                <w:b/>
                <w:szCs w:val="20"/>
              </w:rPr>
            </w:pPr>
            <w:r w:rsidRPr="00962CC3">
              <w:rPr>
                <w:b/>
                <w:szCs w:val="20"/>
              </w:rPr>
              <w:t>3-Weekday Period</w:t>
            </w:r>
          </w:p>
        </w:tc>
      </w:tr>
      <w:tr w:rsidR="005A4518" w:rsidRPr="00D8122F" w14:paraId="039D44A5" w14:textId="77777777" w:rsidTr="00D417C3">
        <w:tc>
          <w:tcPr>
            <w:tcW w:w="1068" w:type="pct"/>
            <w:vAlign w:val="center"/>
          </w:tcPr>
          <w:p w14:paraId="4D9EA836" w14:textId="77777777" w:rsidR="005A4518" w:rsidRPr="00C16E1B" w:rsidRDefault="005A4518" w:rsidP="005A4518">
            <w:pPr>
              <w:rPr>
                <w:szCs w:val="20"/>
              </w:rPr>
            </w:pPr>
            <w:r w:rsidRPr="00962CC3">
              <w:rPr>
                <w:szCs w:val="20"/>
              </w:rPr>
              <w:t>1</w:t>
            </w:r>
          </w:p>
        </w:tc>
        <w:tc>
          <w:tcPr>
            <w:tcW w:w="1385" w:type="pct"/>
            <w:vAlign w:val="center"/>
          </w:tcPr>
          <w:p w14:paraId="5AA7F423" w14:textId="77777777" w:rsidR="005A4518" w:rsidRPr="00C16E1B" w:rsidRDefault="005A4518" w:rsidP="005A4518">
            <w:pPr>
              <w:rPr>
                <w:szCs w:val="20"/>
              </w:rPr>
            </w:pPr>
            <w:r w:rsidRPr="00962CC3">
              <w:rPr>
                <w:szCs w:val="20"/>
              </w:rPr>
              <w:t>Sep 16 – Sep 18</w:t>
            </w:r>
          </w:p>
        </w:tc>
        <w:tc>
          <w:tcPr>
            <w:tcW w:w="1162" w:type="pct"/>
            <w:vAlign w:val="center"/>
          </w:tcPr>
          <w:p w14:paraId="784DB85B" w14:textId="77777777" w:rsidR="005A4518" w:rsidRPr="00C16E1B" w:rsidRDefault="005A4518" w:rsidP="005A4518">
            <w:pPr>
              <w:rPr>
                <w:szCs w:val="20"/>
              </w:rPr>
            </w:pPr>
            <w:r w:rsidRPr="00962CC3">
              <w:rPr>
                <w:szCs w:val="20"/>
              </w:rPr>
              <w:t>9</w:t>
            </w:r>
          </w:p>
        </w:tc>
        <w:tc>
          <w:tcPr>
            <w:tcW w:w="1385" w:type="pct"/>
            <w:vAlign w:val="center"/>
          </w:tcPr>
          <w:p w14:paraId="58A66C80" w14:textId="77777777" w:rsidR="005A4518" w:rsidRPr="00C16E1B" w:rsidRDefault="005A4518" w:rsidP="005A4518">
            <w:pPr>
              <w:rPr>
                <w:szCs w:val="20"/>
              </w:rPr>
            </w:pPr>
            <w:r w:rsidRPr="00962CC3">
              <w:rPr>
                <w:szCs w:val="20"/>
              </w:rPr>
              <w:t>Sep 1 – Sep 3</w:t>
            </w:r>
          </w:p>
        </w:tc>
      </w:tr>
      <w:tr w:rsidR="005A4518" w:rsidRPr="00D8122F" w14:paraId="5FDF292C" w14:textId="77777777" w:rsidTr="00D417C3">
        <w:tc>
          <w:tcPr>
            <w:tcW w:w="1068" w:type="pct"/>
            <w:vAlign w:val="center"/>
          </w:tcPr>
          <w:p w14:paraId="435F0EC3" w14:textId="77777777" w:rsidR="005A4518" w:rsidRPr="00C16E1B" w:rsidRDefault="005A4518" w:rsidP="005A4518">
            <w:pPr>
              <w:rPr>
                <w:szCs w:val="20"/>
              </w:rPr>
            </w:pPr>
            <w:r w:rsidRPr="00962CC3">
              <w:rPr>
                <w:szCs w:val="20"/>
              </w:rPr>
              <w:t>2</w:t>
            </w:r>
          </w:p>
        </w:tc>
        <w:tc>
          <w:tcPr>
            <w:tcW w:w="1385" w:type="pct"/>
            <w:vAlign w:val="center"/>
          </w:tcPr>
          <w:p w14:paraId="30C617BF" w14:textId="77777777" w:rsidR="005A4518" w:rsidRPr="00C16E1B" w:rsidRDefault="005A4518" w:rsidP="005A4518">
            <w:pPr>
              <w:rPr>
                <w:sz w:val="22"/>
              </w:rPr>
            </w:pPr>
            <w:r w:rsidRPr="00962CC3">
              <w:rPr>
                <w:szCs w:val="20"/>
              </w:rPr>
              <w:t>July 8 – July 10</w:t>
            </w:r>
          </w:p>
        </w:tc>
        <w:tc>
          <w:tcPr>
            <w:tcW w:w="1162" w:type="pct"/>
            <w:vAlign w:val="center"/>
          </w:tcPr>
          <w:p w14:paraId="3A89CA1C" w14:textId="77777777" w:rsidR="005A4518" w:rsidRPr="00C16E1B" w:rsidRDefault="005A4518" w:rsidP="005A4518">
            <w:pPr>
              <w:rPr>
                <w:szCs w:val="20"/>
              </w:rPr>
            </w:pPr>
            <w:r w:rsidRPr="00962CC3">
              <w:rPr>
                <w:szCs w:val="20"/>
              </w:rPr>
              <w:t>10</w:t>
            </w:r>
          </w:p>
        </w:tc>
        <w:tc>
          <w:tcPr>
            <w:tcW w:w="1385" w:type="pct"/>
            <w:vAlign w:val="center"/>
          </w:tcPr>
          <w:p w14:paraId="531B7833" w14:textId="77777777" w:rsidR="005A4518" w:rsidRPr="00C16E1B" w:rsidRDefault="005A4518" w:rsidP="005A4518">
            <w:pPr>
              <w:rPr>
                <w:szCs w:val="20"/>
              </w:rPr>
            </w:pPr>
            <w:r w:rsidRPr="00962CC3">
              <w:rPr>
                <w:szCs w:val="20"/>
              </w:rPr>
              <w:t>Sep 1 – Sep 3</w:t>
            </w:r>
          </w:p>
        </w:tc>
      </w:tr>
      <w:tr w:rsidR="005A4518" w:rsidRPr="00D8122F" w14:paraId="017B2B6B" w14:textId="77777777" w:rsidTr="00D417C3">
        <w:tc>
          <w:tcPr>
            <w:tcW w:w="1068" w:type="pct"/>
            <w:vAlign w:val="center"/>
          </w:tcPr>
          <w:p w14:paraId="0F3B655D" w14:textId="77777777" w:rsidR="005A4518" w:rsidRPr="00C16E1B" w:rsidRDefault="005A4518" w:rsidP="005A4518">
            <w:pPr>
              <w:rPr>
                <w:szCs w:val="20"/>
              </w:rPr>
            </w:pPr>
            <w:r w:rsidRPr="00962CC3">
              <w:rPr>
                <w:szCs w:val="20"/>
              </w:rPr>
              <w:t>3</w:t>
            </w:r>
          </w:p>
        </w:tc>
        <w:tc>
          <w:tcPr>
            <w:tcW w:w="1385" w:type="pct"/>
            <w:vAlign w:val="center"/>
          </w:tcPr>
          <w:p w14:paraId="74AC553B" w14:textId="77777777" w:rsidR="005A4518" w:rsidRPr="00C16E1B" w:rsidRDefault="005A4518" w:rsidP="005A4518">
            <w:pPr>
              <w:rPr>
                <w:szCs w:val="20"/>
              </w:rPr>
            </w:pPr>
            <w:r w:rsidRPr="00962CC3">
              <w:rPr>
                <w:szCs w:val="20"/>
              </w:rPr>
              <w:t>July 8 – July 10</w:t>
            </w:r>
          </w:p>
        </w:tc>
        <w:tc>
          <w:tcPr>
            <w:tcW w:w="1162" w:type="pct"/>
            <w:vAlign w:val="center"/>
          </w:tcPr>
          <w:p w14:paraId="124EBE55" w14:textId="77777777" w:rsidR="005A4518" w:rsidRPr="00C16E1B" w:rsidRDefault="005A4518" w:rsidP="005A4518">
            <w:pPr>
              <w:rPr>
                <w:szCs w:val="20"/>
              </w:rPr>
            </w:pPr>
            <w:r w:rsidRPr="00962CC3">
              <w:rPr>
                <w:szCs w:val="20"/>
              </w:rPr>
              <w:t>11</w:t>
            </w:r>
          </w:p>
        </w:tc>
        <w:tc>
          <w:tcPr>
            <w:tcW w:w="1385" w:type="pct"/>
            <w:vAlign w:val="center"/>
          </w:tcPr>
          <w:p w14:paraId="71E88D21" w14:textId="77777777" w:rsidR="005A4518" w:rsidRPr="00C16E1B" w:rsidRDefault="005A4518" w:rsidP="005A4518">
            <w:pPr>
              <w:rPr>
                <w:szCs w:val="20"/>
              </w:rPr>
            </w:pPr>
            <w:r w:rsidRPr="00962CC3">
              <w:rPr>
                <w:szCs w:val="20"/>
              </w:rPr>
              <w:t>July 8 – July 10</w:t>
            </w:r>
          </w:p>
        </w:tc>
      </w:tr>
      <w:tr w:rsidR="005A4518" w:rsidRPr="00D8122F" w14:paraId="393917FD" w14:textId="77777777" w:rsidTr="00D417C3">
        <w:tc>
          <w:tcPr>
            <w:tcW w:w="1068" w:type="pct"/>
            <w:vAlign w:val="center"/>
          </w:tcPr>
          <w:p w14:paraId="6D3D683B" w14:textId="77777777" w:rsidR="005A4518" w:rsidRPr="00C16E1B" w:rsidRDefault="005A4518" w:rsidP="005A4518">
            <w:pPr>
              <w:rPr>
                <w:szCs w:val="20"/>
              </w:rPr>
            </w:pPr>
            <w:r w:rsidRPr="00962CC3">
              <w:rPr>
                <w:szCs w:val="20"/>
              </w:rPr>
              <w:t>4</w:t>
            </w:r>
          </w:p>
        </w:tc>
        <w:tc>
          <w:tcPr>
            <w:tcW w:w="1385" w:type="pct"/>
            <w:vAlign w:val="center"/>
          </w:tcPr>
          <w:p w14:paraId="67D4A0C2" w14:textId="77777777" w:rsidR="005A4518" w:rsidRPr="00561596" w:rsidRDefault="005A4518" w:rsidP="005A4518">
            <w:pPr>
              <w:rPr>
                <w:szCs w:val="20"/>
              </w:rPr>
            </w:pPr>
            <w:r w:rsidRPr="00962CC3">
              <w:rPr>
                <w:szCs w:val="20"/>
              </w:rPr>
              <w:t>Sep 1 – Sep 3</w:t>
            </w:r>
          </w:p>
        </w:tc>
        <w:tc>
          <w:tcPr>
            <w:tcW w:w="1162" w:type="pct"/>
            <w:vAlign w:val="center"/>
          </w:tcPr>
          <w:p w14:paraId="63282B7C" w14:textId="77777777" w:rsidR="005A4518" w:rsidRPr="00561596" w:rsidRDefault="005A4518" w:rsidP="005A4518">
            <w:pPr>
              <w:rPr>
                <w:szCs w:val="20"/>
              </w:rPr>
            </w:pPr>
            <w:r w:rsidRPr="00962CC3">
              <w:rPr>
                <w:szCs w:val="20"/>
              </w:rPr>
              <w:t>12</w:t>
            </w:r>
          </w:p>
        </w:tc>
        <w:tc>
          <w:tcPr>
            <w:tcW w:w="1385" w:type="pct"/>
            <w:vAlign w:val="center"/>
          </w:tcPr>
          <w:p w14:paraId="17191B4D" w14:textId="77777777" w:rsidR="005A4518" w:rsidRPr="00561596" w:rsidRDefault="005A4518" w:rsidP="005A4518">
            <w:pPr>
              <w:rPr>
                <w:szCs w:val="20"/>
              </w:rPr>
            </w:pPr>
            <w:r w:rsidRPr="00962CC3">
              <w:rPr>
                <w:szCs w:val="20"/>
              </w:rPr>
              <w:t>July 8 – July 10</w:t>
            </w:r>
          </w:p>
        </w:tc>
      </w:tr>
      <w:tr w:rsidR="005A4518" w:rsidRPr="00D8122F" w14:paraId="72FF2F0F" w14:textId="77777777" w:rsidTr="00D417C3">
        <w:tc>
          <w:tcPr>
            <w:tcW w:w="1068" w:type="pct"/>
            <w:vAlign w:val="center"/>
          </w:tcPr>
          <w:p w14:paraId="5E5A1588" w14:textId="77777777" w:rsidR="005A4518" w:rsidRPr="00561596" w:rsidRDefault="005A4518" w:rsidP="005A4518">
            <w:pPr>
              <w:rPr>
                <w:szCs w:val="20"/>
              </w:rPr>
            </w:pPr>
            <w:r w:rsidRPr="00962CC3">
              <w:rPr>
                <w:szCs w:val="20"/>
              </w:rPr>
              <w:t>5</w:t>
            </w:r>
          </w:p>
        </w:tc>
        <w:tc>
          <w:tcPr>
            <w:tcW w:w="1385" w:type="pct"/>
            <w:vAlign w:val="center"/>
          </w:tcPr>
          <w:p w14:paraId="40F8ED54" w14:textId="77777777" w:rsidR="005A4518" w:rsidRPr="00561596" w:rsidRDefault="005A4518" w:rsidP="005A4518">
            <w:pPr>
              <w:rPr>
                <w:szCs w:val="20"/>
              </w:rPr>
            </w:pPr>
            <w:r w:rsidRPr="00962CC3">
              <w:rPr>
                <w:szCs w:val="20"/>
              </w:rPr>
              <w:t>Sep 8 – Sep 10</w:t>
            </w:r>
          </w:p>
        </w:tc>
        <w:tc>
          <w:tcPr>
            <w:tcW w:w="1162" w:type="pct"/>
            <w:vAlign w:val="center"/>
          </w:tcPr>
          <w:p w14:paraId="28B59113" w14:textId="77777777" w:rsidR="005A4518" w:rsidRPr="00561596" w:rsidRDefault="005A4518" w:rsidP="005A4518">
            <w:pPr>
              <w:rPr>
                <w:szCs w:val="20"/>
              </w:rPr>
            </w:pPr>
            <w:r w:rsidRPr="00962CC3">
              <w:rPr>
                <w:szCs w:val="20"/>
              </w:rPr>
              <w:t>13</w:t>
            </w:r>
          </w:p>
        </w:tc>
        <w:tc>
          <w:tcPr>
            <w:tcW w:w="1385" w:type="pct"/>
            <w:vAlign w:val="center"/>
          </w:tcPr>
          <w:p w14:paraId="588B4C69" w14:textId="77777777" w:rsidR="005A4518" w:rsidRPr="00561596" w:rsidRDefault="005A4518" w:rsidP="005A4518">
            <w:pPr>
              <w:rPr>
                <w:szCs w:val="20"/>
              </w:rPr>
            </w:pPr>
            <w:r w:rsidRPr="00962CC3">
              <w:rPr>
                <w:szCs w:val="20"/>
              </w:rPr>
              <w:t>July 8 – July 10</w:t>
            </w:r>
          </w:p>
        </w:tc>
      </w:tr>
      <w:tr w:rsidR="005A4518" w:rsidRPr="00D8122F" w14:paraId="2D5829F9" w14:textId="77777777" w:rsidTr="00D417C3">
        <w:tc>
          <w:tcPr>
            <w:tcW w:w="1068" w:type="pct"/>
            <w:vAlign w:val="center"/>
          </w:tcPr>
          <w:p w14:paraId="42BD4743" w14:textId="77777777" w:rsidR="005A4518" w:rsidRPr="00561596" w:rsidRDefault="005A4518" w:rsidP="005A4518">
            <w:pPr>
              <w:rPr>
                <w:szCs w:val="20"/>
              </w:rPr>
            </w:pPr>
            <w:r w:rsidRPr="00962CC3">
              <w:rPr>
                <w:szCs w:val="20"/>
              </w:rPr>
              <w:t>6</w:t>
            </w:r>
          </w:p>
        </w:tc>
        <w:tc>
          <w:tcPr>
            <w:tcW w:w="1385" w:type="pct"/>
            <w:vAlign w:val="center"/>
          </w:tcPr>
          <w:p w14:paraId="7263B612" w14:textId="77777777" w:rsidR="005A4518" w:rsidRPr="00561596" w:rsidRDefault="005A4518" w:rsidP="005A4518">
            <w:pPr>
              <w:rPr>
                <w:szCs w:val="20"/>
              </w:rPr>
            </w:pPr>
            <w:r w:rsidRPr="00962CC3">
              <w:rPr>
                <w:szCs w:val="20"/>
              </w:rPr>
              <w:t>Sep 1 – Sep 3</w:t>
            </w:r>
          </w:p>
        </w:tc>
        <w:tc>
          <w:tcPr>
            <w:tcW w:w="1162" w:type="pct"/>
            <w:vAlign w:val="center"/>
          </w:tcPr>
          <w:p w14:paraId="764CBD7B" w14:textId="77777777" w:rsidR="005A4518" w:rsidRPr="00561596" w:rsidRDefault="005A4518" w:rsidP="005A4518">
            <w:pPr>
              <w:rPr>
                <w:szCs w:val="20"/>
              </w:rPr>
            </w:pPr>
            <w:r w:rsidRPr="00962CC3">
              <w:rPr>
                <w:szCs w:val="20"/>
              </w:rPr>
              <w:t>14</w:t>
            </w:r>
          </w:p>
        </w:tc>
        <w:tc>
          <w:tcPr>
            <w:tcW w:w="1385" w:type="pct"/>
            <w:vAlign w:val="center"/>
          </w:tcPr>
          <w:p w14:paraId="790E1C14" w14:textId="77777777" w:rsidR="005A4518" w:rsidRPr="00561596" w:rsidRDefault="005A4518" w:rsidP="005A4518">
            <w:pPr>
              <w:rPr>
                <w:szCs w:val="20"/>
              </w:rPr>
            </w:pPr>
            <w:r w:rsidRPr="00962CC3">
              <w:rPr>
                <w:szCs w:val="20"/>
              </w:rPr>
              <w:t>Aug 26 – Aug 28</w:t>
            </w:r>
          </w:p>
        </w:tc>
      </w:tr>
      <w:tr w:rsidR="005A4518" w:rsidRPr="00D8122F" w14:paraId="7A1BF056" w14:textId="77777777" w:rsidTr="00D417C3">
        <w:tc>
          <w:tcPr>
            <w:tcW w:w="1068" w:type="pct"/>
            <w:vAlign w:val="center"/>
          </w:tcPr>
          <w:p w14:paraId="2A4EEEEE" w14:textId="77777777" w:rsidR="005A4518" w:rsidRPr="00561596" w:rsidRDefault="005A4518" w:rsidP="005A4518">
            <w:pPr>
              <w:rPr>
                <w:szCs w:val="20"/>
              </w:rPr>
            </w:pPr>
            <w:r w:rsidRPr="00962CC3">
              <w:rPr>
                <w:szCs w:val="20"/>
              </w:rPr>
              <w:t>7</w:t>
            </w:r>
          </w:p>
        </w:tc>
        <w:tc>
          <w:tcPr>
            <w:tcW w:w="1385" w:type="pct"/>
            <w:vAlign w:val="center"/>
          </w:tcPr>
          <w:p w14:paraId="3130E027" w14:textId="77777777" w:rsidR="005A4518" w:rsidRPr="00561596" w:rsidRDefault="005A4518" w:rsidP="005A4518">
            <w:pPr>
              <w:rPr>
                <w:szCs w:val="20"/>
              </w:rPr>
            </w:pPr>
            <w:r w:rsidRPr="00962CC3">
              <w:rPr>
                <w:szCs w:val="20"/>
              </w:rPr>
              <w:t>Sep 1 – Sep 3</w:t>
            </w:r>
          </w:p>
        </w:tc>
        <w:tc>
          <w:tcPr>
            <w:tcW w:w="1162" w:type="pct"/>
            <w:vAlign w:val="center"/>
          </w:tcPr>
          <w:p w14:paraId="3B13FAC8" w14:textId="77777777" w:rsidR="005A4518" w:rsidRPr="00561596" w:rsidRDefault="005A4518" w:rsidP="005A4518">
            <w:pPr>
              <w:rPr>
                <w:szCs w:val="20"/>
              </w:rPr>
            </w:pPr>
            <w:r w:rsidRPr="00962CC3">
              <w:rPr>
                <w:szCs w:val="20"/>
              </w:rPr>
              <w:t>15</w:t>
            </w:r>
          </w:p>
        </w:tc>
        <w:tc>
          <w:tcPr>
            <w:tcW w:w="1385" w:type="pct"/>
            <w:vAlign w:val="center"/>
          </w:tcPr>
          <w:p w14:paraId="0888907E" w14:textId="77777777" w:rsidR="005A4518" w:rsidRPr="00561596" w:rsidRDefault="005A4518" w:rsidP="005A4518">
            <w:pPr>
              <w:rPr>
                <w:szCs w:val="20"/>
              </w:rPr>
            </w:pPr>
            <w:r w:rsidRPr="00962CC3">
              <w:rPr>
                <w:szCs w:val="20"/>
              </w:rPr>
              <w:t>Aug 25 – Aug 27</w:t>
            </w:r>
          </w:p>
        </w:tc>
      </w:tr>
      <w:tr w:rsidR="005A4518" w:rsidRPr="00D8122F" w14:paraId="58C17FD0" w14:textId="77777777" w:rsidTr="00D417C3">
        <w:tc>
          <w:tcPr>
            <w:tcW w:w="1068" w:type="pct"/>
            <w:vAlign w:val="center"/>
          </w:tcPr>
          <w:p w14:paraId="1CE006C9" w14:textId="77777777" w:rsidR="005A4518" w:rsidRPr="00561596" w:rsidRDefault="005A4518" w:rsidP="005A4518">
            <w:pPr>
              <w:rPr>
                <w:szCs w:val="20"/>
              </w:rPr>
            </w:pPr>
            <w:r w:rsidRPr="00962CC3">
              <w:rPr>
                <w:szCs w:val="20"/>
              </w:rPr>
              <w:t>8</w:t>
            </w:r>
          </w:p>
        </w:tc>
        <w:tc>
          <w:tcPr>
            <w:tcW w:w="1385" w:type="pct"/>
            <w:vAlign w:val="center"/>
          </w:tcPr>
          <w:p w14:paraId="59710417" w14:textId="77777777" w:rsidR="005A4518" w:rsidRPr="00561596" w:rsidRDefault="005A4518" w:rsidP="005A4518">
            <w:pPr>
              <w:rPr>
                <w:szCs w:val="20"/>
              </w:rPr>
            </w:pPr>
            <w:r w:rsidRPr="00962CC3">
              <w:rPr>
                <w:szCs w:val="20"/>
              </w:rPr>
              <w:t>Sep 1 – Sep 3</w:t>
            </w:r>
          </w:p>
        </w:tc>
        <w:tc>
          <w:tcPr>
            <w:tcW w:w="1162" w:type="pct"/>
            <w:vAlign w:val="center"/>
          </w:tcPr>
          <w:p w14:paraId="5FB6D399" w14:textId="77777777" w:rsidR="005A4518" w:rsidRPr="00561596" w:rsidRDefault="005A4518" w:rsidP="005A4518">
            <w:pPr>
              <w:rPr>
                <w:szCs w:val="20"/>
              </w:rPr>
            </w:pPr>
            <w:r w:rsidRPr="00962CC3">
              <w:rPr>
                <w:szCs w:val="20"/>
              </w:rPr>
              <w:t>16</w:t>
            </w:r>
          </w:p>
        </w:tc>
        <w:tc>
          <w:tcPr>
            <w:tcW w:w="1385" w:type="pct"/>
            <w:vAlign w:val="center"/>
          </w:tcPr>
          <w:p w14:paraId="03E08E58" w14:textId="77777777" w:rsidR="005A4518" w:rsidRPr="00561596" w:rsidRDefault="005A4518" w:rsidP="005A4518">
            <w:pPr>
              <w:rPr>
                <w:szCs w:val="20"/>
              </w:rPr>
            </w:pPr>
            <w:r w:rsidRPr="00962CC3">
              <w:rPr>
                <w:szCs w:val="20"/>
              </w:rPr>
              <w:t>July 8 – July 10</w:t>
            </w:r>
          </w:p>
        </w:tc>
      </w:tr>
    </w:tbl>
    <w:p w14:paraId="12513119" w14:textId="77777777" w:rsidR="005A4518" w:rsidRPr="005A4518" w:rsidRDefault="005A4518" w:rsidP="005A4518"/>
    <w:p w14:paraId="4FD53A16" w14:textId="77777777" w:rsidR="005A4518" w:rsidRPr="005A4518" w:rsidRDefault="005A4518" w:rsidP="005A4518">
      <w:r w:rsidRPr="005A4518">
        <w:t>Demand reduction is calculated similarly to electric energy savings, however DEER demand reduction estimation protocol requires using the average hourly peak demand for the 9-hours of the DEER peak period.  The following equation is then used to determine demand reduction per ton of cooling capacity.</w:t>
      </w:r>
    </w:p>
    <w:p w14:paraId="42224C10" w14:textId="77777777" w:rsidR="005A4518" w:rsidRPr="005A4518" w:rsidRDefault="005A4518" w:rsidP="005A4518"/>
    <w:p w14:paraId="38CCD522" w14:textId="14BC7457" w:rsidR="005A4518" w:rsidRPr="005A4518" w:rsidRDefault="005A4518" w:rsidP="005A4518">
      <w:pPr>
        <w:rPr>
          <w:i/>
        </w:rPr>
      </w:pPr>
      <m:oMathPara>
        <m:oMathParaPr>
          <m:jc m:val="center"/>
        </m:oMathParaPr>
        <m:oMath>
          <m:r>
            <w:rPr>
              <w:rFonts w:ascii="Cambria Math" w:hAnsi="Cambria Math"/>
            </w:rPr>
            <m:t>kW per ton demand reduction=</m:t>
          </m:r>
          <m:f>
            <m:fPr>
              <m:ctrlPr>
                <w:rPr>
                  <w:rFonts w:ascii="Cambria Math" w:hAnsi="Cambria Math"/>
                  <w:i/>
                </w:rPr>
              </m:ctrlPr>
            </m:fPr>
            <m:num>
              <m:r>
                <w:rPr>
                  <w:rFonts w:ascii="Cambria Math" w:hAnsi="Cambria Math"/>
                </w:rPr>
                <m:t>baseline kW-measure kW</m:t>
              </m:r>
            </m:num>
            <m:den>
              <m:r>
                <w:rPr>
                  <w:rFonts w:ascii="Cambria Math" w:hAnsi="Cambria Math"/>
                </w:rPr>
                <m:t>cooling tons</m:t>
              </m:r>
            </m:den>
          </m:f>
        </m:oMath>
      </m:oMathPara>
    </w:p>
    <w:p w14:paraId="5B8FF0AB" w14:textId="77777777" w:rsidR="005A4518" w:rsidRPr="005A4518" w:rsidRDefault="005A4518" w:rsidP="005A4518">
      <w:pPr>
        <w:rPr>
          <w:i/>
        </w:rPr>
      </w:pPr>
      <w:r w:rsidRPr="005A4518">
        <w:rPr>
          <w:i/>
        </w:rPr>
        <w:t>Where:</w:t>
      </w:r>
    </w:p>
    <w:p w14:paraId="3C10A5C4" w14:textId="77777777" w:rsidR="005A4518" w:rsidRPr="005A4518" w:rsidRDefault="005A4518" w:rsidP="005A4518">
      <w:pPr>
        <w:rPr>
          <w:i/>
        </w:rPr>
      </w:pPr>
      <w:r w:rsidRPr="005A4518">
        <w:rPr>
          <w:i/>
        </w:rPr>
        <w:t>kW per ton savings = annual unit demand reduction</w:t>
      </w:r>
    </w:p>
    <w:p w14:paraId="65B41B48" w14:textId="77777777" w:rsidR="005A4518" w:rsidRPr="005A4518" w:rsidRDefault="005A4518" w:rsidP="005A4518">
      <w:pPr>
        <w:rPr>
          <w:i/>
        </w:rPr>
      </w:pPr>
      <w:r w:rsidRPr="005A4518">
        <w:rPr>
          <w:i/>
        </w:rPr>
        <w:t>baseline kW = average demand for DEER peak period of customer average baseline</w:t>
      </w:r>
    </w:p>
    <w:p w14:paraId="49877325" w14:textId="77777777" w:rsidR="005A4518" w:rsidRPr="005A4518" w:rsidRDefault="005A4518" w:rsidP="005A4518">
      <w:pPr>
        <w:rPr>
          <w:i/>
        </w:rPr>
      </w:pPr>
      <w:r w:rsidRPr="005A4518">
        <w:rPr>
          <w:i/>
        </w:rPr>
        <w:t>measure kW = average demand for DEER peak period of measure</w:t>
      </w:r>
    </w:p>
    <w:p w14:paraId="6C59320C" w14:textId="77777777" w:rsidR="005A4518" w:rsidRPr="005A4518" w:rsidRDefault="005A4518" w:rsidP="005A4518">
      <w:pPr>
        <w:rPr>
          <w:i/>
        </w:rPr>
      </w:pPr>
      <w:r w:rsidRPr="005A4518">
        <w:rPr>
          <w:i/>
        </w:rPr>
        <w:t>cooling tons = cooling capacity of units measure was applied to (Btu/h) divided by 12,000 (Btu/h per ton)</w:t>
      </w:r>
    </w:p>
    <w:p w14:paraId="34E1EDDF" w14:textId="77777777" w:rsidR="005A4518" w:rsidRPr="005A4518" w:rsidRDefault="005A4518" w:rsidP="005A4518">
      <w:pPr>
        <w:rPr>
          <w:i/>
        </w:rPr>
      </w:pPr>
    </w:p>
    <w:p w14:paraId="5A6F530F" w14:textId="2DB53BED" w:rsidR="005A4518" w:rsidRPr="005A4518" w:rsidRDefault="005A4518" w:rsidP="005A4518">
      <w:r w:rsidRPr="005A4518">
        <w:t xml:space="preserve">A sample calculation using a 1985 vintage assembly (Asm) prototype using AC with gas heat located in climate zone 11 is provided below. </w:t>
      </w:r>
      <w:r w:rsidR="00751C7B">
        <w:fldChar w:fldCharType="begin"/>
      </w:r>
      <w:r w:rsidR="00751C7B">
        <w:instrText xml:space="preserve"> REF _Ref520717413 \h </w:instrText>
      </w:r>
      <w:r w:rsidR="00751C7B">
        <w:fldChar w:fldCharType="separate"/>
      </w:r>
      <w:r w:rsidR="00751C7B">
        <w:t xml:space="preserve">Table </w:t>
      </w:r>
      <w:r w:rsidR="00751C7B">
        <w:rPr>
          <w:noProof/>
        </w:rPr>
        <w:t>6</w:t>
      </w:r>
      <w:r w:rsidR="00751C7B">
        <w:fldChar w:fldCharType="end"/>
      </w:r>
      <w:r w:rsidR="00751C7B">
        <w:t xml:space="preserve"> </w:t>
      </w:r>
      <w:r w:rsidRPr="005A4518">
        <w:t xml:space="preserve">provides electric </w:t>
      </w:r>
      <w:r w:rsidR="00064E9D">
        <w:t>demand</w:t>
      </w:r>
      <w:r w:rsidRPr="005A4518">
        <w:t xml:space="preserve"> and cooling capacity data for the baseline and measure case on the Asm prototype approximating a building constructed in 1986 in climate zone 11. </w:t>
      </w:r>
    </w:p>
    <w:p w14:paraId="7BD2587D" w14:textId="77777777" w:rsidR="005A4518" w:rsidRPr="005A4518" w:rsidRDefault="005A4518" w:rsidP="005A4518"/>
    <w:p w14:paraId="059FFC77" w14:textId="7861FC7E" w:rsidR="00751C7B" w:rsidRDefault="00751C7B" w:rsidP="00561596">
      <w:pPr>
        <w:pStyle w:val="Caption"/>
        <w:keepNext/>
      </w:pPr>
      <w:bookmarkStart w:id="31" w:name="_Ref520717413"/>
      <w:r>
        <w:lastRenderedPageBreak/>
        <w:t xml:space="preserve">Table </w:t>
      </w:r>
      <w:fldSimple w:instr=" SEQ Table \* ARABIC ">
        <w:r w:rsidR="00064E9D">
          <w:rPr>
            <w:noProof/>
          </w:rPr>
          <w:t>6</w:t>
        </w:r>
      </w:fldSimple>
      <w:bookmarkEnd w:id="31"/>
      <w:r>
        <w:t xml:space="preserve"> Asm cz11 v85 AC with Gas Heat Demand and Cooling Capacity Data</w:t>
      </w:r>
    </w:p>
    <w:tbl>
      <w:tblPr>
        <w:tblStyle w:val="TableGrid"/>
        <w:tblW w:w="0" w:type="auto"/>
        <w:tblLook w:val="04A0" w:firstRow="1" w:lastRow="0" w:firstColumn="1" w:lastColumn="0" w:noHBand="0" w:noVBand="1"/>
      </w:tblPr>
      <w:tblGrid>
        <w:gridCol w:w="3192"/>
        <w:gridCol w:w="3192"/>
        <w:gridCol w:w="3192"/>
      </w:tblGrid>
      <w:tr w:rsidR="00D8122F" w:rsidRPr="00751C7B" w14:paraId="7DE29B9E" w14:textId="77777777" w:rsidTr="00D8122F">
        <w:tc>
          <w:tcPr>
            <w:tcW w:w="3192" w:type="dxa"/>
          </w:tcPr>
          <w:p w14:paraId="0D991B74" w14:textId="77777777" w:rsidR="00D8122F" w:rsidRPr="00561596" w:rsidRDefault="00D8122F" w:rsidP="005A4518">
            <w:pPr>
              <w:rPr>
                <w:sz w:val="20"/>
                <w:szCs w:val="20"/>
              </w:rPr>
            </w:pPr>
          </w:p>
        </w:tc>
        <w:tc>
          <w:tcPr>
            <w:tcW w:w="3192" w:type="dxa"/>
          </w:tcPr>
          <w:p w14:paraId="45BEEF1B" w14:textId="62366D11" w:rsidR="00D8122F" w:rsidRPr="00561596" w:rsidRDefault="00D8122F" w:rsidP="005A4518">
            <w:pPr>
              <w:rPr>
                <w:b/>
                <w:sz w:val="20"/>
                <w:szCs w:val="20"/>
              </w:rPr>
            </w:pPr>
            <w:r w:rsidRPr="00561596">
              <w:rPr>
                <w:b/>
                <w:sz w:val="20"/>
                <w:szCs w:val="20"/>
              </w:rPr>
              <w:t>Baseline</w:t>
            </w:r>
          </w:p>
        </w:tc>
        <w:tc>
          <w:tcPr>
            <w:tcW w:w="3192" w:type="dxa"/>
          </w:tcPr>
          <w:p w14:paraId="48E7C0F7" w14:textId="31EDB2EA" w:rsidR="00D8122F" w:rsidRPr="00561596" w:rsidRDefault="00D8122F" w:rsidP="005A4518">
            <w:pPr>
              <w:rPr>
                <w:b/>
                <w:sz w:val="20"/>
                <w:szCs w:val="20"/>
              </w:rPr>
            </w:pPr>
            <w:r w:rsidRPr="00561596">
              <w:rPr>
                <w:b/>
                <w:sz w:val="20"/>
                <w:szCs w:val="20"/>
              </w:rPr>
              <w:t>Measure</w:t>
            </w:r>
          </w:p>
        </w:tc>
      </w:tr>
      <w:tr w:rsidR="00667BF0" w:rsidRPr="00751C7B" w14:paraId="12A9B12C" w14:textId="77777777" w:rsidTr="00561596">
        <w:tc>
          <w:tcPr>
            <w:tcW w:w="3192" w:type="dxa"/>
            <w:vAlign w:val="center"/>
          </w:tcPr>
          <w:p w14:paraId="7978FF12" w14:textId="112C004E" w:rsidR="00667BF0" w:rsidRPr="00561596" w:rsidRDefault="00667BF0" w:rsidP="00667BF0">
            <w:pPr>
              <w:rPr>
                <w:sz w:val="20"/>
                <w:szCs w:val="20"/>
              </w:rPr>
            </w:pPr>
            <w:r w:rsidRPr="00561596">
              <w:rPr>
                <w:sz w:val="20"/>
                <w:szCs w:val="20"/>
              </w:rPr>
              <w:t>7/8 hour 15 demand (kW)</w:t>
            </w:r>
          </w:p>
        </w:tc>
        <w:tc>
          <w:tcPr>
            <w:tcW w:w="3192" w:type="dxa"/>
            <w:vAlign w:val="bottom"/>
          </w:tcPr>
          <w:p w14:paraId="31DE4D5A" w14:textId="4FCE5E51" w:rsidR="00667BF0" w:rsidRPr="00561596" w:rsidRDefault="00667BF0" w:rsidP="00667BF0">
            <w:pPr>
              <w:rPr>
                <w:sz w:val="20"/>
                <w:szCs w:val="20"/>
              </w:rPr>
            </w:pPr>
            <w:r w:rsidRPr="00561596">
              <w:rPr>
                <w:rFonts w:ascii="Calibri" w:hAnsi="Calibri"/>
                <w:color w:val="000000"/>
                <w:sz w:val="20"/>
                <w:szCs w:val="20"/>
              </w:rPr>
              <w:t>243.795</w:t>
            </w:r>
          </w:p>
        </w:tc>
        <w:tc>
          <w:tcPr>
            <w:tcW w:w="3192" w:type="dxa"/>
            <w:vAlign w:val="bottom"/>
          </w:tcPr>
          <w:p w14:paraId="384A3A41" w14:textId="303DD0E7" w:rsidR="00667BF0" w:rsidRPr="00561596" w:rsidRDefault="00667BF0" w:rsidP="00667BF0">
            <w:pPr>
              <w:rPr>
                <w:sz w:val="20"/>
                <w:szCs w:val="20"/>
              </w:rPr>
            </w:pPr>
            <w:r w:rsidRPr="00561596">
              <w:rPr>
                <w:rFonts w:ascii="Calibri" w:hAnsi="Calibri"/>
                <w:color w:val="000000"/>
                <w:sz w:val="20"/>
                <w:szCs w:val="20"/>
              </w:rPr>
              <w:t>213.381</w:t>
            </w:r>
          </w:p>
        </w:tc>
      </w:tr>
      <w:tr w:rsidR="00667BF0" w:rsidRPr="00751C7B" w14:paraId="133BF969" w14:textId="77777777" w:rsidTr="00561596">
        <w:tc>
          <w:tcPr>
            <w:tcW w:w="3192" w:type="dxa"/>
            <w:vAlign w:val="center"/>
          </w:tcPr>
          <w:p w14:paraId="12FEAB7F" w14:textId="60145D4B" w:rsidR="00667BF0" w:rsidRPr="00561596" w:rsidRDefault="00667BF0" w:rsidP="00667BF0">
            <w:pPr>
              <w:rPr>
                <w:sz w:val="20"/>
                <w:szCs w:val="20"/>
              </w:rPr>
            </w:pPr>
            <w:r w:rsidRPr="00561596">
              <w:rPr>
                <w:sz w:val="20"/>
                <w:szCs w:val="20"/>
              </w:rPr>
              <w:t>7/8 hour 16 demand (kW</w:t>
            </w:r>
          </w:p>
        </w:tc>
        <w:tc>
          <w:tcPr>
            <w:tcW w:w="3192" w:type="dxa"/>
            <w:vAlign w:val="bottom"/>
          </w:tcPr>
          <w:p w14:paraId="4F05D7B1" w14:textId="3B052AAF" w:rsidR="00667BF0" w:rsidRPr="00561596" w:rsidRDefault="00667BF0" w:rsidP="00667BF0">
            <w:pPr>
              <w:rPr>
                <w:sz w:val="20"/>
                <w:szCs w:val="20"/>
              </w:rPr>
            </w:pPr>
            <w:r w:rsidRPr="00561596">
              <w:rPr>
                <w:rFonts w:ascii="Calibri" w:hAnsi="Calibri"/>
                <w:color w:val="000000"/>
                <w:sz w:val="20"/>
                <w:szCs w:val="20"/>
              </w:rPr>
              <w:t>271.6</w:t>
            </w:r>
          </w:p>
        </w:tc>
        <w:tc>
          <w:tcPr>
            <w:tcW w:w="3192" w:type="dxa"/>
            <w:vAlign w:val="bottom"/>
          </w:tcPr>
          <w:p w14:paraId="2E306FC1" w14:textId="4E83F27A" w:rsidR="00667BF0" w:rsidRPr="00561596" w:rsidRDefault="00667BF0" w:rsidP="00667BF0">
            <w:pPr>
              <w:rPr>
                <w:sz w:val="20"/>
                <w:szCs w:val="20"/>
              </w:rPr>
            </w:pPr>
            <w:r w:rsidRPr="00561596">
              <w:rPr>
                <w:rFonts w:ascii="Calibri" w:hAnsi="Calibri"/>
                <w:color w:val="000000"/>
                <w:sz w:val="20"/>
                <w:szCs w:val="20"/>
              </w:rPr>
              <w:t>258.211</w:t>
            </w:r>
          </w:p>
        </w:tc>
      </w:tr>
      <w:tr w:rsidR="00667BF0" w:rsidRPr="00751C7B" w14:paraId="146CAB8F" w14:textId="77777777" w:rsidTr="00561596">
        <w:tc>
          <w:tcPr>
            <w:tcW w:w="3192" w:type="dxa"/>
            <w:vAlign w:val="center"/>
          </w:tcPr>
          <w:p w14:paraId="7EDBF0C1" w14:textId="084BDF7D" w:rsidR="00667BF0" w:rsidRPr="00561596" w:rsidRDefault="00667BF0" w:rsidP="00667BF0">
            <w:pPr>
              <w:rPr>
                <w:sz w:val="20"/>
                <w:szCs w:val="20"/>
              </w:rPr>
            </w:pPr>
            <w:r w:rsidRPr="00561596">
              <w:rPr>
                <w:sz w:val="20"/>
                <w:szCs w:val="20"/>
              </w:rPr>
              <w:t>7/8 hour 17 demand (kW)</w:t>
            </w:r>
          </w:p>
        </w:tc>
        <w:tc>
          <w:tcPr>
            <w:tcW w:w="3192" w:type="dxa"/>
            <w:vAlign w:val="bottom"/>
          </w:tcPr>
          <w:p w14:paraId="56B0247B" w14:textId="50434C92" w:rsidR="00667BF0" w:rsidRPr="00561596" w:rsidRDefault="00667BF0" w:rsidP="00667BF0">
            <w:pPr>
              <w:rPr>
                <w:sz w:val="20"/>
                <w:szCs w:val="20"/>
              </w:rPr>
            </w:pPr>
            <w:r w:rsidRPr="00561596">
              <w:rPr>
                <w:rFonts w:ascii="Calibri" w:hAnsi="Calibri"/>
                <w:color w:val="000000"/>
                <w:sz w:val="20"/>
                <w:szCs w:val="20"/>
              </w:rPr>
              <w:t>277.581</w:t>
            </w:r>
          </w:p>
        </w:tc>
        <w:tc>
          <w:tcPr>
            <w:tcW w:w="3192" w:type="dxa"/>
            <w:vAlign w:val="bottom"/>
          </w:tcPr>
          <w:p w14:paraId="3E747300" w14:textId="36FA13E1" w:rsidR="00667BF0" w:rsidRPr="00561596" w:rsidRDefault="00667BF0" w:rsidP="00667BF0">
            <w:pPr>
              <w:rPr>
                <w:sz w:val="20"/>
                <w:szCs w:val="20"/>
              </w:rPr>
            </w:pPr>
            <w:r w:rsidRPr="00561596">
              <w:rPr>
                <w:rFonts w:ascii="Calibri" w:hAnsi="Calibri"/>
                <w:color w:val="000000"/>
                <w:sz w:val="20"/>
                <w:szCs w:val="20"/>
              </w:rPr>
              <w:t>270.279</w:t>
            </w:r>
          </w:p>
        </w:tc>
      </w:tr>
      <w:tr w:rsidR="00667BF0" w:rsidRPr="00751C7B" w14:paraId="63F26CFD" w14:textId="77777777" w:rsidTr="00561596">
        <w:tc>
          <w:tcPr>
            <w:tcW w:w="3192" w:type="dxa"/>
            <w:vAlign w:val="center"/>
          </w:tcPr>
          <w:p w14:paraId="27FE3749" w14:textId="61C97EB2" w:rsidR="00667BF0" w:rsidRPr="00561596" w:rsidRDefault="00667BF0" w:rsidP="00667BF0">
            <w:pPr>
              <w:rPr>
                <w:sz w:val="20"/>
                <w:szCs w:val="20"/>
              </w:rPr>
            </w:pPr>
            <w:r w:rsidRPr="00561596">
              <w:rPr>
                <w:sz w:val="20"/>
                <w:szCs w:val="20"/>
              </w:rPr>
              <w:t>7/9 hour 15 demand (kW</w:t>
            </w:r>
          </w:p>
        </w:tc>
        <w:tc>
          <w:tcPr>
            <w:tcW w:w="3192" w:type="dxa"/>
            <w:vAlign w:val="bottom"/>
          </w:tcPr>
          <w:p w14:paraId="5E9BB70C" w14:textId="40DD6471" w:rsidR="00667BF0" w:rsidRPr="00561596" w:rsidRDefault="00667BF0" w:rsidP="00667BF0">
            <w:pPr>
              <w:rPr>
                <w:sz w:val="20"/>
                <w:szCs w:val="20"/>
              </w:rPr>
            </w:pPr>
            <w:r w:rsidRPr="00561596">
              <w:rPr>
                <w:rFonts w:ascii="Calibri" w:hAnsi="Calibri"/>
                <w:color w:val="000000"/>
                <w:sz w:val="20"/>
                <w:szCs w:val="20"/>
              </w:rPr>
              <w:t>302.526</w:t>
            </w:r>
          </w:p>
        </w:tc>
        <w:tc>
          <w:tcPr>
            <w:tcW w:w="3192" w:type="dxa"/>
            <w:vAlign w:val="bottom"/>
          </w:tcPr>
          <w:p w14:paraId="16CA24CC" w14:textId="32D9653F" w:rsidR="00667BF0" w:rsidRPr="00561596" w:rsidRDefault="00667BF0" w:rsidP="00667BF0">
            <w:pPr>
              <w:rPr>
                <w:sz w:val="20"/>
                <w:szCs w:val="20"/>
              </w:rPr>
            </w:pPr>
            <w:r w:rsidRPr="00561596">
              <w:rPr>
                <w:rFonts w:ascii="Calibri" w:hAnsi="Calibri"/>
                <w:color w:val="000000"/>
                <w:sz w:val="20"/>
                <w:szCs w:val="20"/>
              </w:rPr>
              <w:t>256.137</w:t>
            </w:r>
          </w:p>
        </w:tc>
      </w:tr>
      <w:tr w:rsidR="00667BF0" w:rsidRPr="00751C7B" w14:paraId="7DB4B0BA" w14:textId="77777777" w:rsidTr="00561596">
        <w:tc>
          <w:tcPr>
            <w:tcW w:w="3192" w:type="dxa"/>
            <w:vAlign w:val="center"/>
          </w:tcPr>
          <w:p w14:paraId="664C1FAB" w14:textId="0A0E6D07" w:rsidR="00667BF0" w:rsidRPr="00561596" w:rsidRDefault="00667BF0" w:rsidP="00667BF0">
            <w:pPr>
              <w:rPr>
                <w:sz w:val="20"/>
                <w:szCs w:val="20"/>
              </w:rPr>
            </w:pPr>
            <w:r w:rsidRPr="00561596">
              <w:rPr>
                <w:sz w:val="20"/>
                <w:szCs w:val="20"/>
              </w:rPr>
              <w:t>7/9 hour 16 demand (kW)</w:t>
            </w:r>
          </w:p>
        </w:tc>
        <w:tc>
          <w:tcPr>
            <w:tcW w:w="3192" w:type="dxa"/>
            <w:vAlign w:val="bottom"/>
          </w:tcPr>
          <w:p w14:paraId="1167C355" w14:textId="08631001" w:rsidR="00667BF0" w:rsidRPr="00561596" w:rsidRDefault="00667BF0" w:rsidP="00667BF0">
            <w:pPr>
              <w:rPr>
                <w:sz w:val="20"/>
                <w:szCs w:val="20"/>
              </w:rPr>
            </w:pPr>
            <w:r w:rsidRPr="00561596">
              <w:rPr>
                <w:rFonts w:ascii="Calibri" w:hAnsi="Calibri"/>
                <w:color w:val="000000"/>
                <w:sz w:val="20"/>
                <w:szCs w:val="20"/>
              </w:rPr>
              <w:t>320.237</w:t>
            </w:r>
          </w:p>
        </w:tc>
        <w:tc>
          <w:tcPr>
            <w:tcW w:w="3192" w:type="dxa"/>
            <w:vAlign w:val="bottom"/>
          </w:tcPr>
          <w:p w14:paraId="54BD500C" w14:textId="590DF8CD" w:rsidR="00667BF0" w:rsidRPr="00561596" w:rsidRDefault="00667BF0" w:rsidP="00667BF0">
            <w:pPr>
              <w:rPr>
                <w:sz w:val="20"/>
                <w:szCs w:val="20"/>
              </w:rPr>
            </w:pPr>
            <w:r w:rsidRPr="00561596">
              <w:rPr>
                <w:rFonts w:ascii="Calibri" w:hAnsi="Calibri"/>
                <w:color w:val="000000"/>
                <w:sz w:val="20"/>
                <w:szCs w:val="20"/>
              </w:rPr>
              <w:t>303.537</w:t>
            </w:r>
          </w:p>
        </w:tc>
      </w:tr>
      <w:tr w:rsidR="00667BF0" w:rsidRPr="00751C7B" w14:paraId="2874934A" w14:textId="77777777" w:rsidTr="00561596">
        <w:tc>
          <w:tcPr>
            <w:tcW w:w="3192" w:type="dxa"/>
            <w:vAlign w:val="center"/>
          </w:tcPr>
          <w:p w14:paraId="17ECBDA5" w14:textId="66794A68" w:rsidR="00667BF0" w:rsidRPr="00561596" w:rsidRDefault="00667BF0" w:rsidP="00667BF0">
            <w:pPr>
              <w:rPr>
                <w:sz w:val="20"/>
                <w:szCs w:val="20"/>
              </w:rPr>
            </w:pPr>
            <w:r w:rsidRPr="00561596">
              <w:rPr>
                <w:sz w:val="20"/>
                <w:szCs w:val="20"/>
              </w:rPr>
              <w:t>7/9 hour 17 demand (kW</w:t>
            </w:r>
          </w:p>
        </w:tc>
        <w:tc>
          <w:tcPr>
            <w:tcW w:w="3192" w:type="dxa"/>
            <w:vAlign w:val="bottom"/>
          </w:tcPr>
          <w:p w14:paraId="70340FF8" w14:textId="5B69BEBE" w:rsidR="00667BF0" w:rsidRPr="00561596" w:rsidRDefault="00667BF0" w:rsidP="00667BF0">
            <w:pPr>
              <w:rPr>
                <w:sz w:val="20"/>
                <w:szCs w:val="20"/>
              </w:rPr>
            </w:pPr>
            <w:r w:rsidRPr="00561596">
              <w:rPr>
                <w:rFonts w:ascii="Calibri" w:hAnsi="Calibri"/>
                <w:color w:val="000000"/>
                <w:sz w:val="20"/>
                <w:szCs w:val="20"/>
              </w:rPr>
              <w:t>319.755</w:t>
            </w:r>
          </w:p>
        </w:tc>
        <w:tc>
          <w:tcPr>
            <w:tcW w:w="3192" w:type="dxa"/>
            <w:vAlign w:val="bottom"/>
          </w:tcPr>
          <w:p w14:paraId="1855A3AB" w14:textId="080EC54A" w:rsidR="00667BF0" w:rsidRPr="00561596" w:rsidRDefault="00667BF0" w:rsidP="00667BF0">
            <w:pPr>
              <w:rPr>
                <w:sz w:val="20"/>
                <w:szCs w:val="20"/>
              </w:rPr>
            </w:pPr>
            <w:r w:rsidRPr="00561596">
              <w:rPr>
                <w:rFonts w:ascii="Calibri" w:hAnsi="Calibri"/>
                <w:color w:val="000000"/>
                <w:sz w:val="20"/>
                <w:szCs w:val="20"/>
              </w:rPr>
              <w:t>310.777</w:t>
            </w:r>
          </w:p>
        </w:tc>
      </w:tr>
      <w:tr w:rsidR="00667BF0" w:rsidRPr="00751C7B" w14:paraId="03BE9B6B" w14:textId="77777777" w:rsidTr="00561596">
        <w:tc>
          <w:tcPr>
            <w:tcW w:w="3192" w:type="dxa"/>
            <w:vAlign w:val="center"/>
          </w:tcPr>
          <w:p w14:paraId="1B435241" w14:textId="56285FB5" w:rsidR="00667BF0" w:rsidRPr="00561596" w:rsidRDefault="00667BF0" w:rsidP="00667BF0">
            <w:pPr>
              <w:rPr>
                <w:sz w:val="20"/>
                <w:szCs w:val="20"/>
              </w:rPr>
            </w:pPr>
            <w:r w:rsidRPr="00561596">
              <w:rPr>
                <w:sz w:val="20"/>
                <w:szCs w:val="20"/>
              </w:rPr>
              <w:t>7/10 hour 15 demand (kW)</w:t>
            </w:r>
          </w:p>
        </w:tc>
        <w:tc>
          <w:tcPr>
            <w:tcW w:w="3192" w:type="dxa"/>
            <w:vAlign w:val="bottom"/>
          </w:tcPr>
          <w:p w14:paraId="00B74F53" w14:textId="02C76AB3" w:rsidR="00667BF0" w:rsidRPr="00561596" w:rsidRDefault="00667BF0" w:rsidP="00667BF0">
            <w:pPr>
              <w:rPr>
                <w:sz w:val="20"/>
                <w:szCs w:val="20"/>
              </w:rPr>
            </w:pPr>
            <w:r w:rsidRPr="00561596">
              <w:rPr>
                <w:rFonts w:ascii="Calibri" w:hAnsi="Calibri"/>
                <w:color w:val="000000"/>
                <w:sz w:val="20"/>
                <w:szCs w:val="20"/>
              </w:rPr>
              <w:t>346.646</w:t>
            </w:r>
          </w:p>
        </w:tc>
        <w:tc>
          <w:tcPr>
            <w:tcW w:w="3192" w:type="dxa"/>
            <w:vAlign w:val="bottom"/>
          </w:tcPr>
          <w:p w14:paraId="136AD01D" w14:textId="39B3622E" w:rsidR="00667BF0" w:rsidRPr="00561596" w:rsidRDefault="00667BF0" w:rsidP="00667BF0">
            <w:pPr>
              <w:rPr>
                <w:sz w:val="20"/>
                <w:szCs w:val="20"/>
              </w:rPr>
            </w:pPr>
            <w:r w:rsidRPr="00561596">
              <w:rPr>
                <w:rFonts w:ascii="Calibri" w:hAnsi="Calibri"/>
                <w:color w:val="000000"/>
                <w:sz w:val="20"/>
                <w:szCs w:val="20"/>
              </w:rPr>
              <w:t>287.656</w:t>
            </w:r>
          </w:p>
        </w:tc>
      </w:tr>
      <w:tr w:rsidR="00667BF0" w:rsidRPr="00751C7B" w14:paraId="03AB3531" w14:textId="77777777" w:rsidTr="00561596">
        <w:tc>
          <w:tcPr>
            <w:tcW w:w="3192" w:type="dxa"/>
            <w:vAlign w:val="center"/>
          </w:tcPr>
          <w:p w14:paraId="5A28512A" w14:textId="65EC7A1E" w:rsidR="00667BF0" w:rsidRPr="00751C7B" w:rsidRDefault="00667BF0" w:rsidP="00667BF0">
            <w:pPr>
              <w:rPr>
                <w:sz w:val="20"/>
                <w:szCs w:val="20"/>
              </w:rPr>
            </w:pPr>
            <w:r w:rsidRPr="00561596">
              <w:rPr>
                <w:sz w:val="20"/>
                <w:szCs w:val="20"/>
              </w:rPr>
              <w:t>7/10 hour 16 demand (kW</w:t>
            </w:r>
          </w:p>
        </w:tc>
        <w:tc>
          <w:tcPr>
            <w:tcW w:w="3192" w:type="dxa"/>
            <w:vAlign w:val="bottom"/>
          </w:tcPr>
          <w:p w14:paraId="57BE8E33" w14:textId="3755092E" w:rsidR="00667BF0" w:rsidRPr="00667BF0" w:rsidRDefault="00667BF0" w:rsidP="00667BF0">
            <w:pPr>
              <w:rPr>
                <w:sz w:val="20"/>
                <w:szCs w:val="20"/>
              </w:rPr>
            </w:pPr>
            <w:r w:rsidRPr="00561596">
              <w:rPr>
                <w:rFonts w:ascii="Calibri" w:hAnsi="Calibri"/>
                <w:color w:val="000000"/>
                <w:sz w:val="20"/>
                <w:szCs w:val="20"/>
              </w:rPr>
              <w:t>364.837</w:t>
            </w:r>
          </w:p>
        </w:tc>
        <w:tc>
          <w:tcPr>
            <w:tcW w:w="3192" w:type="dxa"/>
            <w:vAlign w:val="bottom"/>
          </w:tcPr>
          <w:p w14:paraId="4462217B" w14:textId="31CA3E54" w:rsidR="00667BF0" w:rsidRPr="00667BF0" w:rsidRDefault="00667BF0" w:rsidP="00667BF0">
            <w:pPr>
              <w:rPr>
                <w:sz w:val="20"/>
                <w:szCs w:val="20"/>
              </w:rPr>
            </w:pPr>
            <w:r w:rsidRPr="00561596">
              <w:rPr>
                <w:rFonts w:ascii="Calibri" w:hAnsi="Calibri"/>
                <w:color w:val="000000"/>
                <w:sz w:val="20"/>
                <w:szCs w:val="20"/>
              </w:rPr>
              <w:t>344.137</w:t>
            </w:r>
          </w:p>
        </w:tc>
      </w:tr>
      <w:tr w:rsidR="00667BF0" w:rsidRPr="00751C7B" w14:paraId="6EBACFD3" w14:textId="77777777" w:rsidTr="00561596">
        <w:tc>
          <w:tcPr>
            <w:tcW w:w="3192" w:type="dxa"/>
            <w:vAlign w:val="center"/>
          </w:tcPr>
          <w:p w14:paraId="58A40169" w14:textId="3C15C929" w:rsidR="00667BF0" w:rsidRPr="00751C7B" w:rsidRDefault="00667BF0" w:rsidP="00667BF0">
            <w:pPr>
              <w:rPr>
                <w:sz w:val="20"/>
                <w:szCs w:val="20"/>
              </w:rPr>
            </w:pPr>
            <w:r w:rsidRPr="00561596">
              <w:rPr>
                <w:sz w:val="20"/>
                <w:szCs w:val="20"/>
              </w:rPr>
              <w:t>7/10 hour 17 demand (kW)</w:t>
            </w:r>
          </w:p>
        </w:tc>
        <w:tc>
          <w:tcPr>
            <w:tcW w:w="3192" w:type="dxa"/>
            <w:vAlign w:val="bottom"/>
          </w:tcPr>
          <w:p w14:paraId="26D6FBFA" w14:textId="544DED5F" w:rsidR="00667BF0" w:rsidRPr="00667BF0" w:rsidRDefault="00667BF0" w:rsidP="00667BF0">
            <w:pPr>
              <w:rPr>
                <w:sz w:val="20"/>
                <w:szCs w:val="20"/>
              </w:rPr>
            </w:pPr>
            <w:r w:rsidRPr="00561596">
              <w:rPr>
                <w:rFonts w:ascii="Calibri" w:hAnsi="Calibri"/>
                <w:color w:val="000000"/>
                <w:sz w:val="20"/>
                <w:szCs w:val="20"/>
              </w:rPr>
              <w:t>366.337</w:t>
            </w:r>
          </w:p>
        </w:tc>
        <w:tc>
          <w:tcPr>
            <w:tcW w:w="3192" w:type="dxa"/>
            <w:vAlign w:val="bottom"/>
          </w:tcPr>
          <w:p w14:paraId="208D7B2A" w14:textId="36C5D829" w:rsidR="00667BF0" w:rsidRPr="00667BF0" w:rsidRDefault="00667BF0" w:rsidP="00667BF0">
            <w:pPr>
              <w:rPr>
                <w:sz w:val="20"/>
                <w:szCs w:val="20"/>
              </w:rPr>
            </w:pPr>
            <w:r w:rsidRPr="00561596">
              <w:rPr>
                <w:rFonts w:ascii="Calibri" w:hAnsi="Calibri"/>
                <w:color w:val="000000"/>
                <w:sz w:val="20"/>
                <w:szCs w:val="20"/>
              </w:rPr>
              <w:t>364.454</w:t>
            </w:r>
          </w:p>
        </w:tc>
      </w:tr>
      <w:tr w:rsidR="00751C7B" w:rsidRPr="00751C7B" w14:paraId="19ADF80F" w14:textId="77777777" w:rsidTr="00561596">
        <w:tc>
          <w:tcPr>
            <w:tcW w:w="3192" w:type="dxa"/>
            <w:vAlign w:val="center"/>
          </w:tcPr>
          <w:p w14:paraId="702F97A8" w14:textId="2AD2F1D4" w:rsidR="00751C7B" w:rsidRPr="00751C7B" w:rsidRDefault="00751C7B" w:rsidP="00751C7B">
            <w:pPr>
              <w:rPr>
                <w:sz w:val="20"/>
                <w:szCs w:val="20"/>
              </w:rPr>
            </w:pPr>
            <w:r w:rsidRPr="00561596">
              <w:rPr>
                <w:b/>
                <w:bCs/>
                <w:sz w:val="20"/>
                <w:szCs w:val="20"/>
              </w:rPr>
              <w:t>DEER Demand Average (kW)</w:t>
            </w:r>
          </w:p>
        </w:tc>
        <w:tc>
          <w:tcPr>
            <w:tcW w:w="3192" w:type="dxa"/>
          </w:tcPr>
          <w:p w14:paraId="6CDA0DA0" w14:textId="7856EB92" w:rsidR="00751C7B" w:rsidRPr="00561596" w:rsidRDefault="00667BF0" w:rsidP="00751C7B">
            <w:pPr>
              <w:rPr>
                <w:b/>
                <w:sz w:val="20"/>
                <w:szCs w:val="20"/>
              </w:rPr>
            </w:pPr>
            <w:r>
              <w:rPr>
                <w:b/>
                <w:sz w:val="20"/>
                <w:szCs w:val="20"/>
              </w:rPr>
              <w:t>312.590</w:t>
            </w:r>
          </w:p>
        </w:tc>
        <w:tc>
          <w:tcPr>
            <w:tcW w:w="3192" w:type="dxa"/>
          </w:tcPr>
          <w:p w14:paraId="0449AE3C" w14:textId="6143BF74" w:rsidR="00751C7B" w:rsidRPr="00561596" w:rsidRDefault="00667BF0" w:rsidP="00751C7B">
            <w:pPr>
              <w:rPr>
                <w:b/>
                <w:sz w:val="20"/>
                <w:szCs w:val="20"/>
              </w:rPr>
            </w:pPr>
            <w:r w:rsidRPr="00561596">
              <w:rPr>
                <w:b/>
                <w:sz w:val="20"/>
                <w:szCs w:val="20"/>
              </w:rPr>
              <w:t>289.841</w:t>
            </w:r>
          </w:p>
        </w:tc>
      </w:tr>
      <w:tr w:rsidR="00667BF0" w:rsidRPr="00751C7B" w14:paraId="5603599C" w14:textId="77777777" w:rsidTr="00561596">
        <w:tc>
          <w:tcPr>
            <w:tcW w:w="3192" w:type="dxa"/>
            <w:vAlign w:val="bottom"/>
          </w:tcPr>
          <w:p w14:paraId="59A6B64C" w14:textId="799413E0" w:rsidR="00667BF0" w:rsidRPr="00751C7B" w:rsidRDefault="00667BF0" w:rsidP="00667BF0">
            <w:pPr>
              <w:rPr>
                <w:sz w:val="20"/>
                <w:szCs w:val="20"/>
              </w:rPr>
            </w:pPr>
            <w:r w:rsidRPr="00561596">
              <w:rPr>
                <w:sz w:val="20"/>
                <w:szCs w:val="20"/>
              </w:rPr>
              <w:t>System cooling capacity (Btu/h)</w:t>
            </w:r>
          </w:p>
        </w:tc>
        <w:tc>
          <w:tcPr>
            <w:tcW w:w="3192" w:type="dxa"/>
          </w:tcPr>
          <w:p w14:paraId="6BAC6FC0" w14:textId="446F214E" w:rsidR="00667BF0" w:rsidRPr="00751C7B" w:rsidRDefault="00667BF0" w:rsidP="00667BF0">
            <w:pPr>
              <w:rPr>
                <w:sz w:val="20"/>
                <w:szCs w:val="20"/>
              </w:rPr>
            </w:pPr>
            <w:r>
              <w:rPr>
                <w:sz w:val="20"/>
                <w:szCs w:val="20"/>
              </w:rPr>
              <w:t>2,446,370</w:t>
            </w:r>
          </w:p>
        </w:tc>
        <w:tc>
          <w:tcPr>
            <w:tcW w:w="3192" w:type="dxa"/>
          </w:tcPr>
          <w:p w14:paraId="51481967" w14:textId="765D8D9E" w:rsidR="00667BF0" w:rsidRPr="00751C7B" w:rsidRDefault="00667BF0" w:rsidP="00667BF0">
            <w:pPr>
              <w:rPr>
                <w:sz w:val="20"/>
                <w:szCs w:val="20"/>
              </w:rPr>
            </w:pPr>
            <w:r>
              <w:rPr>
                <w:sz w:val="20"/>
                <w:szCs w:val="20"/>
              </w:rPr>
              <w:t>2,446,370</w:t>
            </w:r>
          </w:p>
        </w:tc>
      </w:tr>
    </w:tbl>
    <w:p w14:paraId="7C1335BF" w14:textId="7C2CBE5D" w:rsidR="005A4518" w:rsidRPr="005A4518" w:rsidRDefault="005A4518" w:rsidP="005A4518"/>
    <w:p w14:paraId="4AB6144F" w14:textId="7009584E" w:rsidR="005A4518" w:rsidRPr="00751C7B" w:rsidRDefault="00751C7B" w:rsidP="005A4518">
      <w:pPr>
        <w:rPr>
          <w:sz w:val="24"/>
        </w:rPr>
      </w:pPr>
      <m:oMathPara>
        <m:oMath>
          <m:r>
            <w:rPr>
              <w:rFonts w:ascii="Cambria Math" w:hAnsi="Cambria Math"/>
              <w:sz w:val="24"/>
            </w:rPr>
            <m:t>0.113</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kW</m:t>
                  </m:r>
                </m:num>
                <m:den>
                  <m:r>
                    <w:rPr>
                      <w:rFonts w:ascii="Cambria Math" w:hAnsi="Cambria Math"/>
                      <w:sz w:val="24"/>
                    </w:rPr>
                    <m:t xml:space="preserve">ton </m:t>
                  </m:r>
                </m:den>
              </m:f>
            </m:e>
          </m:d>
          <m:r>
            <w:rPr>
              <w:rFonts w:ascii="Cambria Math" w:hAnsi="Cambria Math"/>
              <w:sz w:val="24"/>
            </w:rPr>
            <m:t>=</m:t>
          </m:r>
          <m:f>
            <m:fPr>
              <m:ctrlPr>
                <w:rPr>
                  <w:rFonts w:ascii="Cambria Math" w:hAnsi="Cambria Math"/>
                  <w:i/>
                  <w:sz w:val="24"/>
                </w:rPr>
              </m:ctrlPr>
            </m:fPr>
            <m:num>
              <m:r>
                <w:rPr>
                  <w:rFonts w:ascii="Cambria Math" w:hAnsi="Cambria Math"/>
                  <w:sz w:val="24"/>
                </w:rPr>
                <m:t>312.590</m:t>
              </m:r>
              <m:d>
                <m:dPr>
                  <m:ctrlPr>
                    <w:rPr>
                      <w:rFonts w:ascii="Cambria Math" w:hAnsi="Cambria Math"/>
                      <w:i/>
                      <w:sz w:val="24"/>
                    </w:rPr>
                  </m:ctrlPr>
                </m:dPr>
                <m:e>
                  <m:r>
                    <w:rPr>
                      <w:rFonts w:ascii="Cambria Math" w:hAnsi="Cambria Math"/>
                      <w:sz w:val="24"/>
                    </w:rPr>
                    <m:t>kW</m:t>
                  </m:r>
                </m:e>
              </m:d>
              <m:r>
                <w:rPr>
                  <w:rFonts w:ascii="Cambria Math" w:hAnsi="Cambria Math"/>
                  <w:sz w:val="24"/>
                </w:rPr>
                <m:t>-289.841</m:t>
              </m:r>
              <m:d>
                <m:dPr>
                  <m:ctrlPr>
                    <w:rPr>
                      <w:rFonts w:ascii="Cambria Math" w:hAnsi="Cambria Math"/>
                      <w:i/>
                      <w:sz w:val="24"/>
                    </w:rPr>
                  </m:ctrlPr>
                </m:dPr>
                <m:e>
                  <m:r>
                    <w:rPr>
                      <w:rFonts w:ascii="Cambria Math" w:hAnsi="Cambria Math"/>
                      <w:sz w:val="24"/>
                    </w:rPr>
                    <m:t>kW</m:t>
                  </m:r>
                </m:e>
              </m:d>
            </m:num>
            <m:den>
              <m:r>
                <w:rPr>
                  <w:rFonts w:ascii="Cambria Math" w:hAnsi="Cambria Math"/>
                  <w:sz w:val="24"/>
                </w:rPr>
                <m:t>2,446,370</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Btu</m:t>
                      </m:r>
                    </m:num>
                    <m:den>
                      <m:r>
                        <w:rPr>
                          <w:rFonts w:ascii="Cambria Math" w:hAnsi="Cambria Math"/>
                          <w:sz w:val="24"/>
                        </w:rPr>
                        <m:t>h</m:t>
                      </m:r>
                    </m:den>
                  </m:f>
                </m:e>
              </m:d>
              <m:r>
                <w:rPr>
                  <w:rFonts w:ascii="Cambria Math" w:hAnsi="Cambria Math"/>
                  <w:sz w:val="24"/>
                </w:rPr>
                <m:t>/12,000</m:t>
              </m:r>
              <m:d>
                <m:dPr>
                  <m:ctrlPr>
                    <w:rPr>
                      <w:rFonts w:ascii="Cambria Math" w:hAnsi="Cambria Math"/>
                      <w:i/>
                      <w:sz w:val="24"/>
                    </w:rPr>
                  </m:ctrlPr>
                </m:d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Btu</m:t>
                          </m:r>
                        </m:num>
                        <m:den>
                          <m:r>
                            <w:rPr>
                              <w:rFonts w:ascii="Cambria Math" w:hAnsi="Cambria Math"/>
                              <w:sz w:val="24"/>
                            </w:rPr>
                            <m:t>h</m:t>
                          </m:r>
                        </m:den>
                      </m:f>
                    </m:e>
                  </m:d>
                  <m:r>
                    <w:rPr>
                      <w:rFonts w:ascii="Cambria Math" w:hAnsi="Cambria Math"/>
                      <w:sz w:val="24"/>
                    </w:rPr>
                    <m:t>/ton</m:t>
                  </m:r>
                </m:e>
              </m:d>
            </m:den>
          </m:f>
        </m:oMath>
      </m:oMathPara>
    </w:p>
    <w:p w14:paraId="19099142" w14:textId="1A41AA10" w:rsidR="00751C7B" w:rsidRDefault="00751C7B" w:rsidP="005A4518"/>
    <w:p w14:paraId="6425D764" w14:textId="045787B5" w:rsidR="00667BF0" w:rsidRDefault="00667BF0" w:rsidP="00667BF0">
      <w:pPr>
        <w:pStyle w:val="Heading2"/>
        <w:rPr>
          <w:rFonts w:asciiTheme="minorHAnsi" w:hAnsiTheme="minorHAnsi"/>
        </w:rPr>
      </w:pPr>
      <w:r>
        <w:rPr>
          <w:rFonts w:asciiTheme="minorHAnsi" w:hAnsiTheme="minorHAnsi"/>
        </w:rPr>
        <w:t>2.4 Gas Energy Savings Estimation Methodologies</w:t>
      </w:r>
    </w:p>
    <w:p w14:paraId="34A75E23" w14:textId="77777777" w:rsidR="00064E9D" w:rsidRPr="00064E9D" w:rsidRDefault="00064E9D" w:rsidP="00064E9D">
      <w:r w:rsidRPr="00064E9D">
        <w:t xml:space="preserve">Gas energy savings are calculated similarly to electric energy savings. The gas energy savings from the first baseline are represented in the calculations below. </w:t>
      </w:r>
    </w:p>
    <w:p w14:paraId="13D32BC0" w14:textId="77777777" w:rsidR="00064E9D" w:rsidRPr="00064E9D" w:rsidRDefault="00064E9D" w:rsidP="00064E9D">
      <w:pPr>
        <w:rPr>
          <w:i/>
        </w:rPr>
      </w:pPr>
    </w:p>
    <w:p w14:paraId="27421FB8" w14:textId="2D12D16E" w:rsidR="00064E9D" w:rsidRPr="00064E9D" w:rsidRDefault="00064E9D" w:rsidP="00064E9D">
      <w:pPr>
        <w:rPr>
          <w:i/>
        </w:rPr>
      </w:pPr>
      <m:oMathPara>
        <m:oMathParaPr>
          <m:jc m:val="center"/>
        </m:oMathParaPr>
        <m:oMath>
          <m:r>
            <w:rPr>
              <w:rFonts w:ascii="Cambria Math" w:hAnsi="Cambria Math"/>
            </w:rPr>
            <m:t>therms per ton savings=</m:t>
          </m:r>
          <m:f>
            <m:fPr>
              <m:ctrlPr>
                <w:rPr>
                  <w:rFonts w:ascii="Cambria Math" w:hAnsi="Cambria Math"/>
                  <w:i/>
                </w:rPr>
              </m:ctrlPr>
            </m:fPr>
            <m:num>
              <m:r>
                <w:rPr>
                  <w:rFonts w:ascii="Cambria Math" w:hAnsi="Cambria Math"/>
                </w:rPr>
                <m:t>baseline therms-measure therms</m:t>
              </m:r>
            </m:num>
            <m:den>
              <m:r>
                <w:rPr>
                  <w:rFonts w:ascii="Cambria Math" w:hAnsi="Cambria Math"/>
                </w:rPr>
                <m:t>cooling tons</m:t>
              </m:r>
            </m:den>
          </m:f>
        </m:oMath>
      </m:oMathPara>
    </w:p>
    <w:p w14:paraId="2EC7ADD0" w14:textId="77777777" w:rsidR="00064E9D" w:rsidRPr="00064E9D" w:rsidRDefault="00064E9D" w:rsidP="00064E9D">
      <w:pPr>
        <w:rPr>
          <w:i/>
        </w:rPr>
      </w:pPr>
      <w:r w:rsidRPr="00064E9D">
        <w:rPr>
          <w:i/>
        </w:rPr>
        <w:t>Where:</w:t>
      </w:r>
    </w:p>
    <w:p w14:paraId="3D63C17B" w14:textId="77777777" w:rsidR="00064E9D" w:rsidRPr="00064E9D" w:rsidRDefault="00064E9D" w:rsidP="00064E9D">
      <w:pPr>
        <w:rPr>
          <w:i/>
        </w:rPr>
      </w:pPr>
      <w:r w:rsidRPr="00064E9D">
        <w:rPr>
          <w:i/>
        </w:rPr>
        <w:t>therms per ton savings = annual unit energy savings</w:t>
      </w:r>
    </w:p>
    <w:p w14:paraId="37025903" w14:textId="77777777" w:rsidR="00064E9D" w:rsidRPr="00064E9D" w:rsidRDefault="00064E9D" w:rsidP="00064E9D">
      <w:pPr>
        <w:rPr>
          <w:i/>
        </w:rPr>
      </w:pPr>
      <w:r w:rsidRPr="00064E9D">
        <w:rPr>
          <w:i/>
        </w:rPr>
        <w:t>baseline therms = annual building energy consumption of customer average baseline</w:t>
      </w:r>
    </w:p>
    <w:p w14:paraId="701D8CF2" w14:textId="77777777" w:rsidR="00064E9D" w:rsidRPr="00064E9D" w:rsidRDefault="00064E9D" w:rsidP="00064E9D">
      <w:pPr>
        <w:rPr>
          <w:i/>
        </w:rPr>
      </w:pPr>
      <w:r w:rsidRPr="00064E9D">
        <w:rPr>
          <w:i/>
        </w:rPr>
        <w:t>measure therms = annual building energy consumption of measure</w:t>
      </w:r>
    </w:p>
    <w:p w14:paraId="38B51D58" w14:textId="77777777" w:rsidR="00064E9D" w:rsidRPr="00064E9D" w:rsidRDefault="00064E9D" w:rsidP="00064E9D">
      <w:pPr>
        <w:rPr>
          <w:i/>
        </w:rPr>
      </w:pPr>
      <w:r w:rsidRPr="00064E9D">
        <w:rPr>
          <w:i/>
        </w:rPr>
        <w:t>cooling tons = cooling capacity of units measure was applied to (Btu/h) divided by 12,000 (Btu/h per ton)</w:t>
      </w:r>
    </w:p>
    <w:p w14:paraId="17339582" w14:textId="77777777" w:rsidR="00064E9D" w:rsidRPr="00064E9D" w:rsidRDefault="00064E9D" w:rsidP="00064E9D">
      <w:pPr>
        <w:rPr>
          <w:i/>
        </w:rPr>
      </w:pPr>
    </w:p>
    <w:p w14:paraId="403918F1" w14:textId="0F66778D" w:rsidR="00064E9D" w:rsidRDefault="00064E9D" w:rsidP="00064E9D">
      <w:r w:rsidRPr="00064E9D">
        <w:t xml:space="preserve">A sample calculation using a 1985 vintage assembly (Asm) prototype using AC with gas heat located in climate zone 11 is provided below. </w:t>
      </w:r>
      <w:r>
        <w:fldChar w:fldCharType="begin"/>
      </w:r>
      <w:r>
        <w:instrText xml:space="preserve"> REF _Ref520717928 \h </w:instrText>
      </w:r>
      <w:r>
        <w:fldChar w:fldCharType="separate"/>
      </w:r>
      <w:r>
        <w:t xml:space="preserve">Table </w:t>
      </w:r>
      <w:r>
        <w:rPr>
          <w:noProof/>
        </w:rPr>
        <w:t>7</w:t>
      </w:r>
      <w:r>
        <w:fldChar w:fldCharType="end"/>
      </w:r>
      <w:r>
        <w:t xml:space="preserve"> </w:t>
      </w:r>
      <w:r w:rsidRPr="00064E9D">
        <w:t xml:space="preserve">provides </w:t>
      </w:r>
      <w:r>
        <w:t>gas</w:t>
      </w:r>
      <w:r w:rsidRPr="00064E9D">
        <w:t xml:space="preserve"> energy use and cooling capacity data for the baseline and measure case on the Asm prototype approximating a building constructed in 1986 in climate zone 11. </w:t>
      </w:r>
    </w:p>
    <w:p w14:paraId="7393EF86" w14:textId="77777777" w:rsidR="00064E9D" w:rsidRPr="00064E9D" w:rsidRDefault="00064E9D" w:rsidP="00064E9D"/>
    <w:p w14:paraId="11E1B46C" w14:textId="145109A1" w:rsidR="00064E9D" w:rsidRDefault="00064E9D" w:rsidP="00561596">
      <w:pPr>
        <w:pStyle w:val="Caption"/>
        <w:keepNext/>
      </w:pPr>
      <w:bookmarkStart w:id="32" w:name="_Ref520717928"/>
      <w:r>
        <w:t xml:space="preserve">Table </w:t>
      </w:r>
      <w:fldSimple w:instr=" SEQ Table \* ARABIC ">
        <w:r>
          <w:rPr>
            <w:noProof/>
          </w:rPr>
          <w:t>7</w:t>
        </w:r>
      </w:fldSimple>
      <w:bookmarkEnd w:id="32"/>
      <w:r>
        <w:t xml:space="preserve"> Asm cz11 v85 AC with Gas Heat Gas Energy Use and Cooling Capacity Data</w:t>
      </w:r>
    </w:p>
    <w:tbl>
      <w:tblPr>
        <w:tblStyle w:val="TableGrid"/>
        <w:tblW w:w="0" w:type="auto"/>
        <w:tblLook w:val="04A0" w:firstRow="1" w:lastRow="0" w:firstColumn="1" w:lastColumn="0" w:noHBand="0" w:noVBand="1"/>
      </w:tblPr>
      <w:tblGrid>
        <w:gridCol w:w="4068"/>
        <w:gridCol w:w="2790"/>
        <w:gridCol w:w="2718"/>
      </w:tblGrid>
      <w:tr w:rsidR="00064E9D" w:rsidRPr="00EA2D99" w14:paraId="248A9953" w14:textId="77777777" w:rsidTr="00561596">
        <w:tc>
          <w:tcPr>
            <w:tcW w:w="4068" w:type="dxa"/>
          </w:tcPr>
          <w:p w14:paraId="72DFD4A3" w14:textId="77777777" w:rsidR="00064E9D" w:rsidRPr="00561596" w:rsidRDefault="00064E9D" w:rsidP="00667BF0">
            <w:pPr>
              <w:rPr>
                <w:sz w:val="20"/>
                <w:szCs w:val="20"/>
              </w:rPr>
            </w:pPr>
          </w:p>
        </w:tc>
        <w:tc>
          <w:tcPr>
            <w:tcW w:w="2790" w:type="dxa"/>
          </w:tcPr>
          <w:p w14:paraId="0FED7684" w14:textId="50F274CF" w:rsidR="00064E9D" w:rsidRPr="00561596" w:rsidRDefault="00EA2D99" w:rsidP="00667BF0">
            <w:pPr>
              <w:rPr>
                <w:b/>
                <w:sz w:val="20"/>
                <w:szCs w:val="20"/>
              </w:rPr>
            </w:pPr>
            <w:r w:rsidRPr="00561596">
              <w:rPr>
                <w:b/>
                <w:sz w:val="20"/>
                <w:szCs w:val="20"/>
              </w:rPr>
              <w:t>Baseline</w:t>
            </w:r>
          </w:p>
        </w:tc>
        <w:tc>
          <w:tcPr>
            <w:tcW w:w="2718" w:type="dxa"/>
          </w:tcPr>
          <w:p w14:paraId="23E85ED3" w14:textId="1FDC693B" w:rsidR="00064E9D" w:rsidRPr="00561596" w:rsidRDefault="00EA2D99" w:rsidP="00667BF0">
            <w:pPr>
              <w:rPr>
                <w:b/>
                <w:sz w:val="20"/>
                <w:szCs w:val="20"/>
              </w:rPr>
            </w:pPr>
            <w:r w:rsidRPr="00561596">
              <w:rPr>
                <w:b/>
                <w:sz w:val="20"/>
                <w:szCs w:val="20"/>
              </w:rPr>
              <w:t>Measure</w:t>
            </w:r>
          </w:p>
        </w:tc>
      </w:tr>
      <w:tr w:rsidR="00064E9D" w:rsidRPr="00EA2D99" w14:paraId="50AA591B" w14:textId="77777777" w:rsidTr="00561596">
        <w:tc>
          <w:tcPr>
            <w:tcW w:w="4068" w:type="dxa"/>
          </w:tcPr>
          <w:p w14:paraId="7428C25E" w14:textId="4A4A8177" w:rsidR="00064E9D" w:rsidRPr="00561596" w:rsidRDefault="00EA2D99" w:rsidP="00667BF0">
            <w:pPr>
              <w:rPr>
                <w:sz w:val="20"/>
                <w:szCs w:val="20"/>
              </w:rPr>
            </w:pPr>
            <w:r>
              <w:rPr>
                <w:sz w:val="20"/>
                <w:szCs w:val="20"/>
              </w:rPr>
              <w:t>Whole building energy use (therms/yr)</w:t>
            </w:r>
          </w:p>
        </w:tc>
        <w:tc>
          <w:tcPr>
            <w:tcW w:w="2790" w:type="dxa"/>
          </w:tcPr>
          <w:p w14:paraId="5AB57959" w14:textId="2399B87D" w:rsidR="00064E9D" w:rsidRPr="00561596" w:rsidRDefault="00EA2D99" w:rsidP="00667BF0">
            <w:pPr>
              <w:rPr>
                <w:sz w:val="20"/>
                <w:szCs w:val="20"/>
              </w:rPr>
            </w:pPr>
            <w:r>
              <w:rPr>
                <w:sz w:val="20"/>
                <w:szCs w:val="20"/>
              </w:rPr>
              <w:t>21,847.2</w:t>
            </w:r>
          </w:p>
        </w:tc>
        <w:tc>
          <w:tcPr>
            <w:tcW w:w="2718" w:type="dxa"/>
          </w:tcPr>
          <w:p w14:paraId="7EFD2611" w14:textId="4775584E" w:rsidR="00064E9D" w:rsidRPr="00561596" w:rsidRDefault="00EA2D99" w:rsidP="00667BF0">
            <w:pPr>
              <w:rPr>
                <w:sz w:val="20"/>
                <w:szCs w:val="20"/>
              </w:rPr>
            </w:pPr>
            <w:r>
              <w:rPr>
                <w:sz w:val="20"/>
                <w:szCs w:val="20"/>
              </w:rPr>
              <w:t>12,286.4</w:t>
            </w:r>
          </w:p>
        </w:tc>
      </w:tr>
      <w:tr w:rsidR="00064E9D" w:rsidRPr="00EA2D99" w14:paraId="304F7219" w14:textId="77777777" w:rsidTr="00561596">
        <w:tc>
          <w:tcPr>
            <w:tcW w:w="4068" w:type="dxa"/>
          </w:tcPr>
          <w:p w14:paraId="32292F42" w14:textId="37081E66" w:rsidR="00064E9D" w:rsidRPr="00561596" w:rsidRDefault="00EA2D99" w:rsidP="00667BF0">
            <w:pPr>
              <w:rPr>
                <w:sz w:val="20"/>
                <w:szCs w:val="20"/>
              </w:rPr>
            </w:pPr>
            <w:r>
              <w:rPr>
                <w:sz w:val="20"/>
                <w:szCs w:val="20"/>
              </w:rPr>
              <w:t>System cooling capacity (Btu/h)</w:t>
            </w:r>
          </w:p>
        </w:tc>
        <w:tc>
          <w:tcPr>
            <w:tcW w:w="2790" w:type="dxa"/>
          </w:tcPr>
          <w:p w14:paraId="7106D7A2" w14:textId="3F8EAF12" w:rsidR="00064E9D" w:rsidRPr="00561596" w:rsidRDefault="00DC33B3" w:rsidP="00667BF0">
            <w:pPr>
              <w:rPr>
                <w:sz w:val="20"/>
                <w:szCs w:val="20"/>
              </w:rPr>
            </w:pPr>
            <w:r>
              <w:rPr>
                <w:sz w:val="20"/>
                <w:szCs w:val="20"/>
              </w:rPr>
              <w:t>2,446,370</w:t>
            </w:r>
          </w:p>
        </w:tc>
        <w:tc>
          <w:tcPr>
            <w:tcW w:w="2718" w:type="dxa"/>
          </w:tcPr>
          <w:p w14:paraId="2E8B47D5" w14:textId="5BE147D2" w:rsidR="00064E9D" w:rsidRPr="00561596" w:rsidRDefault="00DC33B3" w:rsidP="00667BF0">
            <w:pPr>
              <w:rPr>
                <w:sz w:val="20"/>
                <w:szCs w:val="20"/>
              </w:rPr>
            </w:pPr>
            <w:r>
              <w:rPr>
                <w:sz w:val="20"/>
                <w:szCs w:val="20"/>
              </w:rPr>
              <w:t>2,446,370</w:t>
            </w:r>
          </w:p>
        </w:tc>
      </w:tr>
    </w:tbl>
    <w:p w14:paraId="35E0569C" w14:textId="127D1709" w:rsidR="00667BF0" w:rsidRDefault="00667BF0" w:rsidP="00667BF0"/>
    <w:p w14:paraId="63E9766E" w14:textId="2FF80B5D" w:rsidR="00DC33B3" w:rsidRPr="00DC33B3" w:rsidRDefault="00DC33B3" w:rsidP="00667BF0">
      <w:pPr>
        <w:rPr>
          <w:sz w:val="24"/>
        </w:rPr>
      </w:pPr>
      <m:oMathPara>
        <m:oMath>
          <m:r>
            <w:rPr>
              <w:rFonts w:ascii="Cambria Math" w:hAnsi="Cambria Math"/>
              <w:sz w:val="24"/>
            </w:rPr>
            <m:t>46.90</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therms</m:t>
                  </m:r>
                </m:num>
                <m:den>
                  <m:r>
                    <w:rPr>
                      <w:rFonts w:ascii="Cambria Math" w:hAnsi="Cambria Math"/>
                      <w:sz w:val="24"/>
                    </w:rPr>
                    <m:t>ton x year</m:t>
                  </m:r>
                </m:den>
              </m:f>
            </m:e>
          </m:d>
          <m:r>
            <w:rPr>
              <w:rFonts w:ascii="Cambria Math" w:hAnsi="Cambria Math"/>
              <w:sz w:val="24"/>
            </w:rPr>
            <m:t>=</m:t>
          </m:r>
          <m:f>
            <m:fPr>
              <m:ctrlPr>
                <w:rPr>
                  <w:rFonts w:ascii="Cambria Math" w:hAnsi="Cambria Math"/>
                  <w:i/>
                  <w:sz w:val="24"/>
                </w:rPr>
              </m:ctrlPr>
            </m:fPr>
            <m:num>
              <m:r>
                <w:rPr>
                  <w:rFonts w:ascii="Cambria Math" w:hAnsi="Cambria Math"/>
                  <w:sz w:val="24"/>
                </w:rPr>
                <m:t>21,847.2</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therms</m:t>
                      </m:r>
                    </m:num>
                    <m:den>
                      <m:r>
                        <w:rPr>
                          <w:rFonts w:ascii="Cambria Math" w:hAnsi="Cambria Math"/>
                          <w:sz w:val="24"/>
                        </w:rPr>
                        <m:t>year</m:t>
                      </m:r>
                    </m:den>
                  </m:f>
                </m:e>
              </m:d>
              <m:r>
                <w:rPr>
                  <w:rFonts w:ascii="Cambria Math" w:hAnsi="Cambria Math"/>
                  <w:sz w:val="24"/>
                </w:rPr>
                <m:t>-12,286.4</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therms</m:t>
                      </m:r>
                    </m:num>
                    <m:den>
                      <m:r>
                        <w:rPr>
                          <w:rFonts w:ascii="Cambria Math" w:hAnsi="Cambria Math"/>
                          <w:sz w:val="24"/>
                        </w:rPr>
                        <m:t>year</m:t>
                      </m:r>
                    </m:den>
                  </m:f>
                </m:e>
              </m:d>
            </m:num>
            <m:den>
              <m:r>
                <w:rPr>
                  <w:rFonts w:ascii="Cambria Math" w:hAnsi="Cambria Math"/>
                  <w:sz w:val="24"/>
                </w:rPr>
                <m:t>2,446,370</m:t>
              </m:r>
              <m:d>
                <m:dPr>
                  <m:ctrlPr>
                    <w:rPr>
                      <w:rFonts w:ascii="Cambria Math" w:hAnsi="Cambria Math"/>
                      <w:i/>
                      <w:sz w:val="24"/>
                    </w:rPr>
                  </m:ctrlPr>
                </m:dPr>
                <m:e>
                  <m:f>
                    <m:fPr>
                      <m:ctrlPr>
                        <w:rPr>
                          <w:rFonts w:ascii="Cambria Math" w:hAnsi="Cambria Math"/>
                          <w:i/>
                          <w:sz w:val="24"/>
                        </w:rPr>
                      </m:ctrlPr>
                    </m:fPr>
                    <m:num>
                      <m:r>
                        <w:rPr>
                          <w:rFonts w:ascii="Cambria Math" w:hAnsi="Cambria Math"/>
                          <w:sz w:val="24"/>
                        </w:rPr>
                        <m:t>Btu</m:t>
                      </m:r>
                    </m:num>
                    <m:den>
                      <m:r>
                        <w:rPr>
                          <w:rFonts w:ascii="Cambria Math" w:hAnsi="Cambria Math"/>
                          <w:sz w:val="24"/>
                        </w:rPr>
                        <m:t>h</m:t>
                      </m:r>
                    </m:den>
                  </m:f>
                </m:e>
              </m:d>
              <m:r>
                <w:rPr>
                  <w:rFonts w:ascii="Cambria Math" w:hAnsi="Cambria Math"/>
                  <w:sz w:val="24"/>
                </w:rPr>
                <m:t>/12,000</m:t>
              </m:r>
              <m:d>
                <m:dPr>
                  <m:ctrlPr>
                    <w:rPr>
                      <w:rFonts w:ascii="Cambria Math" w:hAnsi="Cambria Math"/>
                      <w:i/>
                      <w:sz w:val="24"/>
                    </w:rPr>
                  </m:ctrlPr>
                </m:d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Btu</m:t>
                          </m:r>
                        </m:num>
                        <m:den>
                          <m:r>
                            <w:rPr>
                              <w:rFonts w:ascii="Cambria Math" w:hAnsi="Cambria Math"/>
                              <w:sz w:val="24"/>
                            </w:rPr>
                            <m:t>h</m:t>
                          </m:r>
                        </m:den>
                      </m:f>
                    </m:e>
                  </m:d>
                  <m:r>
                    <w:rPr>
                      <w:rFonts w:ascii="Cambria Math" w:hAnsi="Cambria Math"/>
                      <w:sz w:val="24"/>
                    </w:rPr>
                    <m:t>/ton</m:t>
                  </m:r>
                </m:e>
              </m:d>
            </m:den>
          </m:f>
        </m:oMath>
      </m:oMathPara>
    </w:p>
    <w:p w14:paraId="59D8CA45" w14:textId="724EC414" w:rsidR="00DC33B3" w:rsidRDefault="00DC33B3" w:rsidP="00667BF0"/>
    <w:p w14:paraId="15A20F95" w14:textId="0575D957" w:rsidR="00DC33B3" w:rsidRDefault="00DC33B3" w:rsidP="00DC33B3">
      <w:pPr>
        <w:pStyle w:val="Heading2"/>
        <w:rPr>
          <w:rFonts w:asciiTheme="minorHAnsi" w:hAnsiTheme="minorHAnsi"/>
        </w:rPr>
      </w:pPr>
      <w:r>
        <w:rPr>
          <w:rFonts w:asciiTheme="minorHAnsi" w:hAnsiTheme="minorHAnsi"/>
        </w:rPr>
        <w:lastRenderedPageBreak/>
        <w:t>2.5 Vintage Weighted Average</w:t>
      </w:r>
    </w:p>
    <w:p w14:paraId="0063DC4D" w14:textId="4B3CA57C" w:rsidR="00D417C3" w:rsidRPr="00D417C3" w:rsidRDefault="00D417C3" w:rsidP="00D417C3">
      <w:r w:rsidRPr="00D417C3">
        <w:t>Baseline and measure simulations used the 7 DEER building vintages</w:t>
      </w:r>
      <w:r w:rsidRPr="00D417C3">
        <w:rPr>
          <w:vertAlign w:val="superscript"/>
        </w:rPr>
        <w:endnoteReference w:id="10"/>
      </w:r>
      <w:r w:rsidRPr="00D417C3">
        <w:t xml:space="preserve"> described in </w:t>
      </w:r>
      <w:r w:rsidRPr="00561596">
        <w:t>the table below f</w:t>
      </w:r>
      <w:r w:rsidRPr="00D417C3">
        <w:t>or both customer average and code prototypes.</w:t>
      </w:r>
    </w:p>
    <w:p w14:paraId="3766771B" w14:textId="1BAB5B85" w:rsidR="00D417C3" w:rsidRDefault="00D417C3" w:rsidP="00D417C3"/>
    <w:p w14:paraId="17E2C361" w14:textId="77777777" w:rsidR="00D417C3" w:rsidRPr="00561596" w:rsidRDefault="00D417C3" w:rsidP="00D417C3"/>
    <w:tbl>
      <w:tblPr>
        <w:tblStyle w:val="TableGrid1"/>
        <w:tblW w:w="2876" w:type="pct"/>
        <w:tblLook w:val="04A0" w:firstRow="1" w:lastRow="0" w:firstColumn="1" w:lastColumn="0" w:noHBand="0" w:noVBand="1"/>
      </w:tblPr>
      <w:tblGrid>
        <w:gridCol w:w="2628"/>
        <w:gridCol w:w="2880"/>
      </w:tblGrid>
      <w:tr w:rsidR="00D417C3" w:rsidRPr="00D417C3" w14:paraId="145AA9E2" w14:textId="77777777" w:rsidTr="00D417C3">
        <w:tc>
          <w:tcPr>
            <w:tcW w:w="2386" w:type="pct"/>
            <w:shd w:val="clear" w:color="auto" w:fill="D9D9D9" w:themeFill="background1" w:themeFillShade="D9"/>
          </w:tcPr>
          <w:p w14:paraId="70F42978" w14:textId="77777777" w:rsidR="00D417C3" w:rsidRPr="00D417C3" w:rsidRDefault="00D417C3" w:rsidP="00D417C3">
            <w:pPr>
              <w:rPr>
                <w:b/>
                <w:bCs/>
                <w:sz w:val="22"/>
              </w:rPr>
            </w:pPr>
            <w:r w:rsidRPr="00D417C3">
              <w:rPr>
                <w:b/>
                <w:bCs/>
                <w:sz w:val="22"/>
              </w:rPr>
              <w:t>DEER Vintage Code</w:t>
            </w:r>
          </w:p>
        </w:tc>
        <w:tc>
          <w:tcPr>
            <w:tcW w:w="2614" w:type="pct"/>
            <w:shd w:val="clear" w:color="auto" w:fill="D9D9D9" w:themeFill="background1" w:themeFillShade="D9"/>
          </w:tcPr>
          <w:p w14:paraId="61E7CAC4" w14:textId="77777777" w:rsidR="00D417C3" w:rsidRPr="00D417C3" w:rsidRDefault="00D417C3" w:rsidP="00D417C3">
            <w:pPr>
              <w:rPr>
                <w:b/>
                <w:sz w:val="22"/>
              </w:rPr>
            </w:pPr>
            <w:r w:rsidRPr="00D417C3">
              <w:rPr>
                <w:b/>
                <w:sz w:val="22"/>
              </w:rPr>
              <w:t>Description</w:t>
            </w:r>
          </w:p>
        </w:tc>
      </w:tr>
      <w:tr w:rsidR="00D417C3" w:rsidRPr="00D417C3" w14:paraId="6029E309" w14:textId="77777777" w:rsidTr="00D417C3">
        <w:tc>
          <w:tcPr>
            <w:tcW w:w="2386" w:type="pct"/>
          </w:tcPr>
          <w:p w14:paraId="7533ED0F" w14:textId="77777777" w:rsidR="00D417C3" w:rsidRPr="00D417C3" w:rsidRDefault="00D417C3" w:rsidP="00D417C3">
            <w:pPr>
              <w:rPr>
                <w:sz w:val="22"/>
              </w:rPr>
            </w:pPr>
            <w:r w:rsidRPr="00D417C3">
              <w:rPr>
                <w:sz w:val="22"/>
              </w:rPr>
              <w:t>v75</w:t>
            </w:r>
          </w:p>
        </w:tc>
        <w:tc>
          <w:tcPr>
            <w:tcW w:w="2614" w:type="pct"/>
          </w:tcPr>
          <w:p w14:paraId="641A4DDC" w14:textId="77777777" w:rsidR="00D417C3" w:rsidRPr="00D417C3" w:rsidRDefault="00D417C3" w:rsidP="00D417C3">
            <w:pPr>
              <w:rPr>
                <w:sz w:val="22"/>
              </w:rPr>
            </w:pPr>
            <w:r w:rsidRPr="00D417C3">
              <w:rPr>
                <w:sz w:val="22"/>
              </w:rPr>
              <w:t>Before 1978</w:t>
            </w:r>
          </w:p>
        </w:tc>
      </w:tr>
      <w:tr w:rsidR="00D417C3" w:rsidRPr="00D417C3" w14:paraId="4CB50B1B" w14:textId="77777777" w:rsidTr="00D417C3">
        <w:tc>
          <w:tcPr>
            <w:tcW w:w="2386" w:type="pct"/>
          </w:tcPr>
          <w:p w14:paraId="41F7C29C" w14:textId="77777777" w:rsidR="00D417C3" w:rsidRPr="00D417C3" w:rsidRDefault="00D417C3" w:rsidP="00D417C3">
            <w:pPr>
              <w:rPr>
                <w:sz w:val="22"/>
              </w:rPr>
            </w:pPr>
            <w:r w:rsidRPr="00D417C3">
              <w:rPr>
                <w:sz w:val="22"/>
              </w:rPr>
              <w:t>v85</w:t>
            </w:r>
          </w:p>
        </w:tc>
        <w:tc>
          <w:tcPr>
            <w:tcW w:w="2614" w:type="pct"/>
          </w:tcPr>
          <w:p w14:paraId="58F1BB8E" w14:textId="77777777" w:rsidR="00D417C3" w:rsidRPr="00D417C3" w:rsidRDefault="00D417C3" w:rsidP="00D417C3">
            <w:pPr>
              <w:rPr>
                <w:sz w:val="22"/>
              </w:rPr>
            </w:pPr>
            <w:r w:rsidRPr="00D417C3">
              <w:rPr>
                <w:sz w:val="22"/>
              </w:rPr>
              <w:t>1978 - 1992</w:t>
            </w:r>
          </w:p>
        </w:tc>
      </w:tr>
      <w:tr w:rsidR="00D417C3" w:rsidRPr="00D417C3" w14:paraId="06387756" w14:textId="77777777" w:rsidTr="00D417C3">
        <w:tc>
          <w:tcPr>
            <w:tcW w:w="2386" w:type="pct"/>
          </w:tcPr>
          <w:p w14:paraId="5877E073" w14:textId="77777777" w:rsidR="00D417C3" w:rsidRPr="00D417C3" w:rsidRDefault="00D417C3" w:rsidP="00D417C3">
            <w:pPr>
              <w:rPr>
                <w:sz w:val="22"/>
              </w:rPr>
            </w:pPr>
            <w:r w:rsidRPr="00D417C3">
              <w:rPr>
                <w:sz w:val="22"/>
              </w:rPr>
              <w:t>v96</w:t>
            </w:r>
          </w:p>
        </w:tc>
        <w:tc>
          <w:tcPr>
            <w:tcW w:w="2614" w:type="pct"/>
          </w:tcPr>
          <w:p w14:paraId="09EA8D39" w14:textId="77777777" w:rsidR="00D417C3" w:rsidRPr="00D417C3" w:rsidRDefault="00D417C3" w:rsidP="00D417C3">
            <w:pPr>
              <w:rPr>
                <w:sz w:val="22"/>
              </w:rPr>
            </w:pPr>
            <w:r w:rsidRPr="00D417C3">
              <w:rPr>
                <w:sz w:val="22"/>
              </w:rPr>
              <w:t>1993 - 2001</w:t>
            </w:r>
          </w:p>
        </w:tc>
      </w:tr>
      <w:tr w:rsidR="00D417C3" w:rsidRPr="00D417C3" w14:paraId="08B9E7ED" w14:textId="77777777" w:rsidTr="00D417C3">
        <w:tc>
          <w:tcPr>
            <w:tcW w:w="2386" w:type="pct"/>
          </w:tcPr>
          <w:p w14:paraId="3F46D77D" w14:textId="77777777" w:rsidR="00D417C3" w:rsidRPr="00D417C3" w:rsidRDefault="00D417C3" w:rsidP="00D417C3">
            <w:pPr>
              <w:rPr>
                <w:sz w:val="22"/>
              </w:rPr>
            </w:pPr>
            <w:r w:rsidRPr="00D417C3">
              <w:rPr>
                <w:sz w:val="22"/>
              </w:rPr>
              <w:t>v03</w:t>
            </w:r>
          </w:p>
        </w:tc>
        <w:tc>
          <w:tcPr>
            <w:tcW w:w="2614" w:type="pct"/>
          </w:tcPr>
          <w:p w14:paraId="1BC5A78F" w14:textId="77777777" w:rsidR="00D417C3" w:rsidRPr="00D417C3" w:rsidRDefault="00D417C3" w:rsidP="00D417C3">
            <w:pPr>
              <w:rPr>
                <w:sz w:val="22"/>
              </w:rPr>
            </w:pPr>
            <w:r w:rsidRPr="00D417C3">
              <w:rPr>
                <w:sz w:val="22"/>
              </w:rPr>
              <w:t>2002 - 2005</w:t>
            </w:r>
          </w:p>
        </w:tc>
      </w:tr>
      <w:tr w:rsidR="00D417C3" w:rsidRPr="00D417C3" w14:paraId="7DC15C24" w14:textId="77777777" w:rsidTr="00D417C3">
        <w:trPr>
          <w:trHeight w:val="243"/>
        </w:trPr>
        <w:tc>
          <w:tcPr>
            <w:tcW w:w="2386" w:type="pct"/>
          </w:tcPr>
          <w:p w14:paraId="5F0333CE" w14:textId="77777777" w:rsidR="00D417C3" w:rsidRPr="00D417C3" w:rsidRDefault="00D417C3" w:rsidP="00D417C3">
            <w:pPr>
              <w:rPr>
                <w:sz w:val="22"/>
              </w:rPr>
            </w:pPr>
            <w:r w:rsidRPr="00D417C3">
              <w:rPr>
                <w:sz w:val="22"/>
              </w:rPr>
              <w:t>v07</w:t>
            </w:r>
          </w:p>
        </w:tc>
        <w:tc>
          <w:tcPr>
            <w:tcW w:w="2614" w:type="pct"/>
          </w:tcPr>
          <w:p w14:paraId="18E75555" w14:textId="77777777" w:rsidR="00D417C3" w:rsidRPr="00D417C3" w:rsidRDefault="00D417C3" w:rsidP="00D417C3">
            <w:pPr>
              <w:rPr>
                <w:sz w:val="22"/>
              </w:rPr>
            </w:pPr>
            <w:r w:rsidRPr="00D417C3">
              <w:rPr>
                <w:sz w:val="22"/>
              </w:rPr>
              <w:t>2006 - 2009</w:t>
            </w:r>
          </w:p>
        </w:tc>
      </w:tr>
      <w:tr w:rsidR="00D417C3" w:rsidRPr="00D417C3" w14:paraId="7F76C763" w14:textId="77777777" w:rsidTr="00D417C3">
        <w:trPr>
          <w:trHeight w:val="243"/>
        </w:trPr>
        <w:tc>
          <w:tcPr>
            <w:tcW w:w="2386" w:type="pct"/>
          </w:tcPr>
          <w:p w14:paraId="7DF8CF1B" w14:textId="77777777" w:rsidR="00D417C3" w:rsidRPr="00D417C3" w:rsidRDefault="00D417C3" w:rsidP="00D417C3">
            <w:pPr>
              <w:rPr>
                <w:sz w:val="22"/>
              </w:rPr>
            </w:pPr>
            <w:r w:rsidRPr="00D417C3">
              <w:rPr>
                <w:sz w:val="22"/>
              </w:rPr>
              <w:t>v11</w:t>
            </w:r>
          </w:p>
        </w:tc>
        <w:tc>
          <w:tcPr>
            <w:tcW w:w="2614" w:type="pct"/>
          </w:tcPr>
          <w:p w14:paraId="4D2E2CBA" w14:textId="77777777" w:rsidR="00D417C3" w:rsidRPr="00D417C3" w:rsidRDefault="00D417C3" w:rsidP="00D417C3">
            <w:pPr>
              <w:rPr>
                <w:sz w:val="22"/>
              </w:rPr>
            </w:pPr>
            <w:r w:rsidRPr="00D417C3">
              <w:rPr>
                <w:sz w:val="22"/>
              </w:rPr>
              <w:t>2010 - 2013</w:t>
            </w:r>
          </w:p>
        </w:tc>
      </w:tr>
      <w:tr w:rsidR="00D417C3" w:rsidRPr="00D417C3" w14:paraId="1A54BF0F" w14:textId="77777777" w:rsidTr="00D417C3">
        <w:trPr>
          <w:trHeight w:val="243"/>
        </w:trPr>
        <w:tc>
          <w:tcPr>
            <w:tcW w:w="2386" w:type="pct"/>
          </w:tcPr>
          <w:p w14:paraId="0ACC2FC8" w14:textId="77777777" w:rsidR="00D417C3" w:rsidRPr="00D417C3" w:rsidRDefault="00D417C3" w:rsidP="00D417C3">
            <w:pPr>
              <w:rPr>
                <w:sz w:val="22"/>
              </w:rPr>
            </w:pPr>
            <w:r w:rsidRPr="00D417C3">
              <w:rPr>
                <w:sz w:val="22"/>
              </w:rPr>
              <w:t>v14</w:t>
            </w:r>
          </w:p>
        </w:tc>
        <w:tc>
          <w:tcPr>
            <w:tcW w:w="2614" w:type="pct"/>
          </w:tcPr>
          <w:p w14:paraId="5651C739" w14:textId="77777777" w:rsidR="00D417C3" w:rsidRPr="00D417C3" w:rsidRDefault="00D417C3" w:rsidP="00D417C3">
            <w:pPr>
              <w:rPr>
                <w:sz w:val="22"/>
              </w:rPr>
            </w:pPr>
            <w:r w:rsidRPr="00D417C3">
              <w:rPr>
                <w:sz w:val="22"/>
              </w:rPr>
              <w:t>2014 - 2015</w:t>
            </w:r>
          </w:p>
        </w:tc>
      </w:tr>
    </w:tbl>
    <w:p w14:paraId="403264C3" w14:textId="77777777" w:rsidR="00D417C3" w:rsidRPr="00D417C3" w:rsidRDefault="00D417C3" w:rsidP="00D417C3"/>
    <w:p w14:paraId="68505D29" w14:textId="77777777" w:rsidR="00D417C3" w:rsidRPr="00D417C3" w:rsidRDefault="00D417C3" w:rsidP="00D417C3">
      <w:r w:rsidRPr="00D417C3">
        <w:t>DEER 2014 vintage weighting tables and procedures were used to appropriately weight all measure electric and demand reduction savings according to each vintage per IOU, building type, and climate zone. The following equation describes the DEER 2014 weighting methodology.</w:t>
      </w:r>
    </w:p>
    <w:p w14:paraId="6E12E34E" w14:textId="77777777" w:rsidR="00D417C3" w:rsidRPr="00D417C3" w:rsidRDefault="00D417C3" w:rsidP="00D417C3"/>
    <w:p w14:paraId="65A71960" w14:textId="15E472B0" w:rsidR="00D417C3" w:rsidRPr="00D417C3" w:rsidRDefault="00D417C3" w:rsidP="00D417C3">
      <m:oMathPara>
        <m:oMath>
          <m:r>
            <w:rPr>
              <w:rFonts w:ascii="Cambria Math" w:hAnsi="Cambria Math"/>
            </w:rPr>
            <m:t>final weighted value=</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i=75</m:t>
                  </m:r>
                </m:sub>
                <m:sup>
                  <m:r>
                    <w:rPr>
                      <w:rFonts w:ascii="Cambria Math" w:hAnsi="Cambria Math"/>
                    </w:rPr>
                    <m:t>7</m:t>
                  </m:r>
                </m:sup>
                <m:e>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i</m:t>
                      </m:r>
                    </m:sub>
                  </m:sSub>
                </m:e>
              </m:nary>
            </m:num>
            <m:den>
              <m:nary>
                <m:naryPr>
                  <m:chr m:val="∑"/>
                  <m:limLoc m:val="undOvr"/>
                  <m:ctrlPr>
                    <w:rPr>
                      <w:rFonts w:ascii="Cambria Math" w:hAnsi="Cambria Math"/>
                      <w:i/>
                    </w:rPr>
                  </m:ctrlPr>
                </m:naryPr>
                <m:sub>
                  <m:r>
                    <w:rPr>
                      <w:rFonts w:ascii="Cambria Math" w:hAnsi="Cambria Math"/>
                    </w:rPr>
                    <m:t>i=75</m:t>
                  </m:r>
                </m:sub>
                <m:sup>
                  <m:r>
                    <w:rPr>
                      <w:rFonts w:ascii="Cambria Math" w:hAnsi="Cambria Math"/>
                    </w:rPr>
                    <m:t>7</m:t>
                  </m:r>
                </m:sup>
                <m:e>
                  <m:r>
                    <w:rPr>
                      <w:rFonts w:ascii="Cambria Math" w:hAnsi="Cambria Math"/>
                    </w:rPr>
                    <m:t>Wi</m:t>
                  </m:r>
                </m:e>
              </m:nary>
            </m:den>
          </m:f>
        </m:oMath>
      </m:oMathPara>
    </w:p>
    <w:p w14:paraId="56856365" w14:textId="77777777" w:rsidR="00D417C3" w:rsidRPr="00D417C3" w:rsidRDefault="00D417C3" w:rsidP="00D417C3">
      <w:r w:rsidRPr="00D417C3">
        <w:t xml:space="preserve">Where: </w:t>
      </w:r>
    </w:p>
    <w:p w14:paraId="56430CA1" w14:textId="77777777" w:rsidR="00D417C3" w:rsidRPr="00D417C3" w:rsidRDefault="00D417C3" w:rsidP="00D417C3">
      <w:r w:rsidRPr="00D417C3">
        <w:t>final weighted value=reported energy savings value (kWh/ton, kW/ton, or therms/ton)</w:t>
      </w:r>
    </w:p>
    <w:p w14:paraId="65486EC1" w14:textId="77777777" w:rsidR="00D417C3" w:rsidRPr="00D417C3" w:rsidRDefault="00D417C3" w:rsidP="00D417C3">
      <w:r w:rsidRPr="00D417C3">
        <w:t>i=vintage 75, 85, 96, 03, 07, 11, 14</w:t>
      </w:r>
    </w:p>
    <w:p w14:paraId="26CDBC07" w14:textId="77777777" w:rsidR="00D417C3" w:rsidRPr="00D417C3" w:rsidRDefault="00D417C3" w:rsidP="00D417C3">
      <w:r w:rsidRPr="00D417C3">
        <w:t>W=Weight for a given vintage i</w:t>
      </w:r>
    </w:p>
    <w:p w14:paraId="3DB3312F" w14:textId="77777777" w:rsidR="00D417C3" w:rsidRPr="00D417C3" w:rsidRDefault="00D417C3" w:rsidP="00D417C3">
      <w:r w:rsidRPr="00D417C3">
        <w:t>V=energy savings value for a given vintage (kWh/ton, kW/ton, or therms/ton)</w:t>
      </w:r>
    </w:p>
    <w:p w14:paraId="151F86FF" w14:textId="77777777" w:rsidR="00DC33B3" w:rsidRPr="00DC33B3" w:rsidRDefault="00DC33B3" w:rsidP="00FB6191"/>
    <w:tbl>
      <w:tblPr>
        <w:tblStyle w:val="TableGrid"/>
        <w:tblW w:w="0" w:type="auto"/>
        <w:tblLook w:val="04A0" w:firstRow="1" w:lastRow="0" w:firstColumn="1" w:lastColumn="0" w:noHBand="0" w:noVBand="1"/>
      </w:tblPr>
      <w:tblGrid>
        <w:gridCol w:w="1596"/>
        <w:gridCol w:w="1596"/>
        <w:gridCol w:w="1596"/>
        <w:gridCol w:w="1596"/>
        <w:gridCol w:w="1596"/>
        <w:gridCol w:w="1596"/>
      </w:tblGrid>
      <w:tr w:rsidR="00D417C3" w14:paraId="51755A2E" w14:textId="77777777" w:rsidTr="00D417C3">
        <w:tc>
          <w:tcPr>
            <w:tcW w:w="1596" w:type="dxa"/>
          </w:tcPr>
          <w:p w14:paraId="097B1D5F" w14:textId="44FFACF6" w:rsidR="00D417C3" w:rsidRDefault="00D417C3" w:rsidP="00FB6191">
            <w:pPr>
              <w:jc w:val="center"/>
            </w:pPr>
            <w:r w:rsidRPr="00ED2D1B">
              <w:rPr>
                <w:rFonts w:cs="Calibri"/>
                <w:b/>
                <w:bCs/>
                <w:szCs w:val="22"/>
              </w:rPr>
              <w:t>WtSet</w:t>
            </w:r>
          </w:p>
        </w:tc>
        <w:tc>
          <w:tcPr>
            <w:tcW w:w="1596" w:type="dxa"/>
          </w:tcPr>
          <w:p w14:paraId="532275C4" w14:textId="1F9B1FF4" w:rsidR="00D417C3" w:rsidRDefault="00D417C3" w:rsidP="00FB6191">
            <w:pPr>
              <w:jc w:val="center"/>
            </w:pPr>
            <w:r w:rsidRPr="00ED2D1B">
              <w:rPr>
                <w:rFonts w:cs="Arial"/>
                <w:b/>
                <w:szCs w:val="22"/>
              </w:rPr>
              <w:t>Vintage</w:t>
            </w:r>
          </w:p>
        </w:tc>
        <w:tc>
          <w:tcPr>
            <w:tcW w:w="1596" w:type="dxa"/>
          </w:tcPr>
          <w:p w14:paraId="6C0CB924" w14:textId="1D258B2A" w:rsidR="00D417C3" w:rsidRDefault="00D417C3" w:rsidP="00FB6191">
            <w:pPr>
              <w:jc w:val="center"/>
            </w:pPr>
            <w:r w:rsidRPr="00ED2D1B">
              <w:rPr>
                <w:rFonts w:cs="Arial"/>
                <w:b/>
                <w:szCs w:val="22"/>
              </w:rPr>
              <w:t>DEER Weight</w:t>
            </w:r>
          </w:p>
        </w:tc>
        <w:tc>
          <w:tcPr>
            <w:tcW w:w="1596" w:type="dxa"/>
          </w:tcPr>
          <w:p w14:paraId="44589496" w14:textId="77777777" w:rsidR="00D417C3" w:rsidRPr="00ED2D1B" w:rsidRDefault="00D417C3" w:rsidP="00D417C3">
            <w:pPr>
              <w:jc w:val="center"/>
              <w:rPr>
                <w:rFonts w:cs="Arial"/>
                <w:b/>
                <w:szCs w:val="22"/>
              </w:rPr>
            </w:pPr>
            <w:r w:rsidRPr="00ED2D1B">
              <w:rPr>
                <w:rFonts w:cs="Arial"/>
                <w:b/>
                <w:szCs w:val="22"/>
              </w:rPr>
              <w:t>Savings</w:t>
            </w:r>
          </w:p>
          <w:p w14:paraId="3F278B38" w14:textId="15491F87" w:rsidR="00D417C3" w:rsidRDefault="00D417C3" w:rsidP="00FB6191">
            <w:pPr>
              <w:jc w:val="center"/>
            </w:pPr>
            <w:r w:rsidRPr="00ED2D1B">
              <w:rPr>
                <w:rFonts w:cs="Arial"/>
                <w:b/>
                <w:szCs w:val="22"/>
              </w:rPr>
              <w:t>kWh/Ton</w:t>
            </w:r>
          </w:p>
        </w:tc>
        <w:tc>
          <w:tcPr>
            <w:tcW w:w="1596" w:type="dxa"/>
          </w:tcPr>
          <w:p w14:paraId="314B3A23" w14:textId="77777777" w:rsidR="00D417C3" w:rsidRPr="00ED2D1B" w:rsidRDefault="00D417C3" w:rsidP="00D417C3">
            <w:pPr>
              <w:jc w:val="center"/>
              <w:rPr>
                <w:rFonts w:cs="Arial"/>
                <w:b/>
                <w:szCs w:val="22"/>
              </w:rPr>
            </w:pPr>
            <w:r w:rsidRPr="00ED2D1B">
              <w:rPr>
                <w:rFonts w:cs="Arial"/>
                <w:b/>
                <w:szCs w:val="22"/>
              </w:rPr>
              <w:t>Demand Reduction</w:t>
            </w:r>
          </w:p>
          <w:p w14:paraId="6B14C7F8" w14:textId="2E021E1E" w:rsidR="00D417C3" w:rsidRDefault="00D417C3" w:rsidP="00FB6191">
            <w:pPr>
              <w:jc w:val="center"/>
            </w:pPr>
            <w:r w:rsidRPr="00ED2D1B">
              <w:rPr>
                <w:rFonts w:cs="Arial"/>
                <w:b/>
                <w:szCs w:val="22"/>
              </w:rPr>
              <w:t>kW/Ton</w:t>
            </w:r>
          </w:p>
        </w:tc>
        <w:tc>
          <w:tcPr>
            <w:tcW w:w="1596" w:type="dxa"/>
          </w:tcPr>
          <w:p w14:paraId="224A30BA" w14:textId="77777777" w:rsidR="00D417C3" w:rsidRPr="00ED2D1B" w:rsidRDefault="00D417C3" w:rsidP="00D417C3">
            <w:pPr>
              <w:jc w:val="center"/>
              <w:rPr>
                <w:rFonts w:cs="Arial"/>
                <w:b/>
                <w:szCs w:val="22"/>
              </w:rPr>
            </w:pPr>
            <w:r w:rsidRPr="00ED2D1B">
              <w:rPr>
                <w:rFonts w:cs="Arial"/>
                <w:b/>
                <w:szCs w:val="22"/>
              </w:rPr>
              <w:t>Savings</w:t>
            </w:r>
          </w:p>
          <w:p w14:paraId="17487320" w14:textId="133C2285" w:rsidR="00D417C3" w:rsidRDefault="00D417C3" w:rsidP="00FB6191">
            <w:pPr>
              <w:jc w:val="center"/>
            </w:pPr>
            <w:r w:rsidRPr="00ED2D1B">
              <w:rPr>
                <w:rFonts w:cs="Arial"/>
                <w:b/>
                <w:szCs w:val="22"/>
              </w:rPr>
              <w:t>Therms/Ton</w:t>
            </w:r>
          </w:p>
        </w:tc>
      </w:tr>
      <w:tr w:rsidR="00475365" w14:paraId="72E0705B" w14:textId="77777777" w:rsidTr="00FB6191">
        <w:tc>
          <w:tcPr>
            <w:tcW w:w="1596" w:type="dxa"/>
            <w:vAlign w:val="bottom"/>
          </w:tcPr>
          <w:p w14:paraId="1E118276" w14:textId="7BE85F56" w:rsidR="00475365" w:rsidRDefault="00475365" w:rsidP="00475365">
            <w:r w:rsidRPr="00DD3825">
              <w:rPr>
                <w:rFonts w:ascii="Calibri" w:hAnsi="Calibri" w:cs="Arial"/>
                <w:szCs w:val="22"/>
              </w:rPr>
              <w:t>PGEAsmCZ11</w:t>
            </w:r>
          </w:p>
        </w:tc>
        <w:tc>
          <w:tcPr>
            <w:tcW w:w="1596" w:type="dxa"/>
            <w:vAlign w:val="bottom"/>
          </w:tcPr>
          <w:p w14:paraId="20C6A3FD" w14:textId="1C9E69E5" w:rsidR="00475365" w:rsidRDefault="00475365" w:rsidP="00FB6191">
            <w:pPr>
              <w:jc w:val="right"/>
            </w:pPr>
            <w:r w:rsidRPr="00DD3825">
              <w:rPr>
                <w:rFonts w:ascii="Calibri" w:hAnsi="Calibri" w:cs="Arial"/>
                <w:szCs w:val="22"/>
              </w:rPr>
              <w:t>v75</w:t>
            </w:r>
          </w:p>
        </w:tc>
        <w:tc>
          <w:tcPr>
            <w:tcW w:w="1596" w:type="dxa"/>
            <w:vAlign w:val="bottom"/>
          </w:tcPr>
          <w:p w14:paraId="7F8DE072" w14:textId="48CE72DC" w:rsidR="00475365" w:rsidRDefault="00475365" w:rsidP="00475365">
            <w:r>
              <w:rPr>
                <w:rFonts w:ascii="Calibri" w:hAnsi="Calibri"/>
                <w:color w:val="000000"/>
                <w:szCs w:val="22"/>
              </w:rPr>
              <w:t>0.39993</w:t>
            </w:r>
          </w:p>
        </w:tc>
        <w:tc>
          <w:tcPr>
            <w:tcW w:w="1596" w:type="dxa"/>
            <w:vAlign w:val="bottom"/>
          </w:tcPr>
          <w:p w14:paraId="00E876D2" w14:textId="4E8C7921" w:rsidR="00475365" w:rsidRDefault="00475365" w:rsidP="00475365">
            <w:r>
              <w:rPr>
                <w:rFonts w:ascii="Calibri" w:hAnsi="Calibri"/>
                <w:color w:val="000000"/>
                <w:szCs w:val="22"/>
              </w:rPr>
              <w:t>34.09</w:t>
            </w:r>
          </w:p>
        </w:tc>
        <w:tc>
          <w:tcPr>
            <w:tcW w:w="1596" w:type="dxa"/>
            <w:vAlign w:val="bottom"/>
          </w:tcPr>
          <w:p w14:paraId="7122FE13" w14:textId="3C1505D2" w:rsidR="00475365" w:rsidRDefault="00475365" w:rsidP="00475365">
            <w:r>
              <w:rPr>
                <w:rFonts w:ascii="Calibri" w:hAnsi="Calibri"/>
                <w:color w:val="000000"/>
                <w:szCs w:val="22"/>
              </w:rPr>
              <w:t>0.0445</w:t>
            </w:r>
          </w:p>
        </w:tc>
        <w:tc>
          <w:tcPr>
            <w:tcW w:w="1596" w:type="dxa"/>
            <w:vAlign w:val="bottom"/>
          </w:tcPr>
          <w:p w14:paraId="667A0A0D" w14:textId="77FFD7E2" w:rsidR="00475365" w:rsidRDefault="00475365" w:rsidP="00475365">
            <w:r>
              <w:rPr>
                <w:rFonts w:ascii="Calibri" w:hAnsi="Calibri"/>
                <w:color w:val="000000"/>
                <w:szCs w:val="22"/>
              </w:rPr>
              <w:t>18.27</w:t>
            </w:r>
          </w:p>
        </w:tc>
      </w:tr>
      <w:tr w:rsidR="00475365" w14:paraId="7ABC6B2F" w14:textId="77777777" w:rsidTr="00FB6191">
        <w:tc>
          <w:tcPr>
            <w:tcW w:w="1596" w:type="dxa"/>
            <w:vAlign w:val="bottom"/>
          </w:tcPr>
          <w:p w14:paraId="274358E2" w14:textId="04512F37" w:rsidR="00475365" w:rsidRDefault="00475365" w:rsidP="00475365">
            <w:r w:rsidRPr="00DD3825">
              <w:rPr>
                <w:rFonts w:ascii="Calibri" w:hAnsi="Calibri" w:cs="Arial"/>
                <w:szCs w:val="22"/>
              </w:rPr>
              <w:t>PGEAsmCZ11</w:t>
            </w:r>
          </w:p>
        </w:tc>
        <w:tc>
          <w:tcPr>
            <w:tcW w:w="1596" w:type="dxa"/>
            <w:vAlign w:val="bottom"/>
          </w:tcPr>
          <w:p w14:paraId="5DB59976" w14:textId="398D0D39" w:rsidR="00475365" w:rsidRDefault="00475365" w:rsidP="00FB6191">
            <w:pPr>
              <w:jc w:val="right"/>
            </w:pPr>
            <w:r w:rsidRPr="00DD3825">
              <w:rPr>
                <w:rFonts w:ascii="Calibri" w:hAnsi="Calibri" w:cs="Arial"/>
                <w:szCs w:val="22"/>
              </w:rPr>
              <w:t>v85</w:t>
            </w:r>
          </w:p>
        </w:tc>
        <w:tc>
          <w:tcPr>
            <w:tcW w:w="1596" w:type="dxa"/>
            <w:vAlign w:val="bottom"/>
          </w:tcPr>
          <w:p w14:paraId="1ACD2906" w14:textId="24E8D189" w:rsidR="00475365" w:rsidRDefault="00475365" w:rsidP="00475365">
            <w:r>
              <w:rPr>
                <w:rFonts w:ascii="Calibri" w:hAnsi="Calibri"/>
                <w:color w:val="000000"/>
                <w:szCs w:val="22"/>
              </w:rPr>
              <w:t>0.25853</w:t>
            </w:r>
          </w:p>
        </w:tc>
        <w:tc>
          <w:tcPr>
            <w:tcW w:w="1596" w:type="dxa"/>
            <w:vAlign w:val="bottom"/>
          </w:tcPr>
          <w:p w14:paraId="4BAB86E6" w14:textId="7434E57E" w:rsidR="00475365" w:rsidRDefault="00475365" w:rsidP="00475365">
            <w:r>
              <w:rPr>
                <w:rFonts w:ascii="Calibri" w:hAnsi="Calibri"/>
                <w:color w:val="000000"/>
                <w:szCs w:val="22"/>
              </w:rPr>
              <w:t>22.55</w:t>
            </w:r>
          </w:p>
        </w:tc>
        <w:tc>
          <w:tcPr>
            <w:tcW w:w="1596" w:type="dxa"/>
            <w:vAlign w:val="bottom"/>
          </w:tcPr>
          <w:p w14:paraId="0E62F67B" w14:textId="543F0FBD" w:rsidR="00475365" w:rsidRDefault="00475365" w:rsidP="00475365">
            <w:r>
              <w:rPr>
                <w:rFonts w:ascii="Calibri" w:hAnsi="Calibri"/>
                <w:color w:val="000000"/>
                <w:szCs w:val="22"/>
              </w:rPr>
              <w:t>0.0288</w:t>
            </w:r>
          </w:p>
        </w:tc>
        <w:tc>
          <w:tcPr>
            <w:tcW w:w="1596" w:type="dxa"/>
            <w:vAlign w:val="bottom"/>
          </w:tcPr>
          <w:p w14:paraId="059686C2" w14:textId="7D3240A3" w:rsidR="00475365" w:rsidRDefault="00475365" w:rsidP="00475365">
            <w:r>
              <w:rPr>
                <w:rFonts w:ascii="Calibri" w:hAnsi="Calibri"/>
                <w:color w:val="000000"/>
                <w:szCs w:val="22"/>
              </w:rPr>
              <w:t>12.12</w:t>
            </w:r>
          </w:p>
        </w:tc>
      </w:tr>
      <w:tr w:rsidR="00475365" w14:paraId="09B0A138" w14:textId="77777777" w:rsidTr="00FB6191">
        <w:tc>
          <w:tcPr>
            <w:tcW w:w="1596" w:type="dxa"/>
            <w:vAlign w:val="bottom"/>
          </w:tcPr>
          <w:p w14:paraId="2968D872" w14:textId="73411F0B" w:rsidR="00475365" w:rsidRDefault="00475365" w:rsidP="00475365">
            <w:r w:rsidRPr="00DD3825">
              <w:rPr>
                <w:rFonts w:ascii="Calibri" w:hAnsi="Calibri" w:cs="Arial"/>
                <w:szCs w:val="22"/>
              </w:rPr>
              <w:t>PGEAsmCZ11</w:t>
            </w:r>
          </w:p>
        </w:tc>
        <w:tc>
          <w:tcPr>
            <w:tcW w:w="1596" w:type="dxa"/>
            <w:vAlign w:val="bottom"/>
          </w:tcPr>
          <w:p w14:paraId="36445652" w14:textId="2450D2F2" w:rsidR="00475365" w:rsidRDefault="00475365" w:rsidP="00FB6191">
            <w:pPr>
              <w:jc w:val="right"/>
            </w:pPr>
            <w:r w:rsidRPr="00DD3825">
              <w:rPr>
                <w:rFonts w:ascii="Calibri" w:hAnsi="Calibri" w:cs="Arial"/>
                <w:szCs w:val="22"/>
              </w:rPr>
              <w:t>v96</w:t>
            </w:r>
          </w:p>
        </w:tc>
        <w:tc>
          <w:tcPr>
            <w:tcW w:w="1596" w:type="dxa"/>
            <w:vAlign w:val="bottom"/>
          </w:tcPr>
          <w:p w14:paraId="76B05782" w14:textId="20D6015B" w:rsidR="00475365" w:rsidRDefault="00475365" w:rsidP="00475365">
            <w:r>
              <w:rPr>
                <w:rFonts w:ascii="Calibri" w:hAnsi="Calibri"/>
                <w:color w:val="000000"/>
                <w:szCs w:val="22"/>
              </w:rPr>
              <w:t>0.15391</w:t>
            </w:r>
          </w:p>
        </w:tc>
        <w:tc>
          <w:tcPr>
            <w:tcW w:w="1596" w:type="dxa"/>
            <w:vAlign w:val="bottom"/>
          </w:tcPr>
          <w:p w14:paraId="661A209E" w14:textId="2D5AFF3E" w:rsidR="00475365" w:rsidRDefault="00475365" w:rsidP="00475365">
            <w:r>
              <w:rPr>
                <w:rFonts w:ascii="Calibri" w:hAnsi="Calibri"/>
                <w:color w:val="000000"/>
                <w:szCs w:val="22"/>
              </w:rPr>
              <w:t>13.85</w:t>
            </w:r>
          </w:p>
        </w:tc>
        <w:tc>
          <w:tcPr>
            <w:tcW w:w="1596" w:type="dxa"/>
            <w:vAlign w:val="bottom"/>
          </w:tcPr>
          <w:p w14:paraId="13623A1F" w14:textId="42286686" w:rsidR="00475365" w:rsidRDefault="00475365" w:rsidP="00475365">
            <w:r>
              <w:rPr>
                <w:rFonts w:ascii="Calibri" w:hAnsi="Calibri"/>
                <w:color w:val="000000"/>
                <w:szCs w:val="22"/>
              </w:rPr>
              <w:t>0.0174</w:t>
            </w:r>
          </w:p>
        </w:tc>
        <w:tc>
          <w:tcPr>
            <w:tcW w:w="1596" w:type="dxa"/>
            <w:vAlign w:val="bottom"/>
          </w:tcPr>
          <w:p w14:paraId="3A5C803E" w14:textId="39B61D60" w:rsidR="00475365" w:rsidRDefault="00475365" w:rsidP="00475365">
            <w:r>
              <w:rPr>
                <w:rFonts w:ascii="Calibri" w:hAnsi="Calibri"/>
                <w:color w:val="000000"/>
                <w:szCs w:val="22"/>
              </w:rPr>
              <w:t>7.68</w:t>
            </w:r>
          </w:p>
        </w:tc>
      </w:tr>
      <w:tr w:rsidR="00475365" w14:paraId="6B13FD44" w14:textId="77777777" w:rsidTr="00FB6191">
        <w:tc>
          <w:tcPr>
            <w:tcW w:w="1596" w:type="dxa"/>
            <w:vAlign w:val="bottom"/>
          </w:tcPr>
          <w:p w14:paraId="58259AE3" w14:textId="4BB961C2" w:rsidR="00475365" w:rsidRDefault="00475365" w:rsidP="00475365">
            <w:r w:rsidRPr="00DD3825">
              <w:rPr>
                <w:rFonts w:ascii="Calibri" w:hAnsi="Calibri" w:cs="Arial"/>
                <w:szCs w:val="22"/>
              </w:rPr>
              <w:t>PGEAsmCZ11</w:t>
            </w:r>
          </w:p>
        </w:tc>
        <w:tc>
          <w:tcPr>
            <w:tcW w:w="1596" w:type="dxa"/>
            <w:vAlign w:val="bottom"/>
          </w:tcPr>
          <w:p w14:paraId="35B3E37D" w14:textId="21E83322" w:rsidR="00475365" w:rsidRDefault="00475365" w:rsidP="00FB6191">
            <w:pPr>
              <w:jc w:val="right"/>
            </w:pPr>
            <w:r w:rsidRPr="00DD3825">
              <w:rPr>
                <w:rFonts w:ascii="Calibri" w:hAnsi="Calibri" w:cs="Arial"/>
                <w:szCs w:val="22"/>
              </w:rPr>
              <w:t>v03</w:t>
            </w:r>
          </w:p>
        </w:tc>
        <w:tc>
          <w:tcPr>
            <w:tcW w:w="1596" w:type="dxa"/>
            <w:vAlign w:val="bottom"/>
          </w:tcPr>
          <w:p w14:paraId="512AF0E6" w14:textId="58D3C150" w:rsidR="00475365" w:rsidRDefault="00475365" w:rsidP="00475365">
            <w:r>
              <w:rPr>
                <w:rFonts w:ascii="Calibri" w:hAnsi="Calibri"/>
                <w:color w:val="000000"/>
                <w:szCs w:val="22"/>
              </w:rPr>
              <w:t>0.07843</w:t>
            </w:r>
          </w:p>
        </w:tc>
        <w:tc>
          <w:tcPr>
            <w:tcW w:w="1596" w:type="dxa"/>
            <w:vAlign w:val="bottom"/>
          </w:tcPr>
          <w:p w14:paraId="7768941F" w14:textId="4E27B8C0" w:rsidR="00475365" w:rsidRDefault="00475365" w:rsidP="00475365">
            <w:r>
              <w:rPr>
                <w:rFonts w:ascii="Calibri" w:hAnsi="Calibri"/>
                <w:color w:val="000000"/>
                <w:szCs w:val="22"/>
              </w:rPr>
              <w:t>7.15</w:t>
            </w:r>
          </w:p>
        </w:tc>
        <w:tc>
          <w:tcPr>
            <w:tcW w:w="1596" w:type="dxa"/>
            <w:vAlign w:val="bottom"/>
          </w:tcPr>
          <w:p w14:paraId="02077109" w14:textId="1ED26E4E" w:rsidR="00475365" w:rsidRDefault="00475365" w:rsidP="00475365">
            <w:r>
              <w:rPr>
                <w:rFonts w:ascii="Calibri" w:hAnsi="Calibri"/>
                <w:color w:val="000000"/>
                <w:szCs w:val="22"/>
              </w:rPr>
              <w:t>0.0090</w:t>
            </w:r>
          </w:p>
        </w:tc>
        <w:tc>
          <w:tcPr>
            <w:tcW w:w="1596" w:type="dxa"/>
            <w:vAlign w:val="bottom"/>
          </w:tcPr>
          <w:p w14:paraId="72881ED6" w14:textId="35CBA855" w:rsidR="00475365" w:rsidRDefault="00475365" w:rsidP="00475365">
            <w:r>
              <w:rPr>
                <w:rFonts w:ascii="Calibri" w:hAnsi="Calibri"/>
                <w:color w:val="000000"/>
                <w:szCs w:val="22"/>
              </w:rPr>
              <w:t>3.95</w:t>
            </w:r>
          </w:p>
        </w:tc>
      </w:tr>
      <w:tr w:rsidR="00475365" w14:paraId="3FBAC1D9" w14:textId="77777777" w:rsidTr="00FB6191">
        <w:tc>
          <w:tcPr>
            <w:tcW w:w="1596" w:type="dxa"/>
            <w:vAlign w:val="bottom"/>
          </w:tcPr>
          <w:p w14:paraId="78E7FE7B" w14:textId="63FE6927" w:rsidR="00475365" w:rsidRDefault="00475365" w:rsidP="00475365">
            <w:r w:rsidRPr="00DD3825">
              <w:rPr>
                <w:rFonts w:ascii="Calibri" w:hAnsi="Calibri" w:cs="Arial"/>
                <w:szCs w:val="22"/>
              </w:rPr>
              <w:t>PGEAsmCZ11</w:t>
            </w:r>
          </w:p>
        </w:tc>
        <w:tc>
          <w:tcPr>
            <w:tcW w:w="1596" w:type="dxa"/>
            <w:vAlign w:val="bottom"/>
          </w:tcPr>
          <w:p w14:paraId="771A9A5C" w14:textId="3214FA26" w:rsidR="00475365" w:rsidRDefault="00475365" w:rsidP="00FB6191">
            <w:pPr>
              <w:jc w:val="right"/>
            </w:pPr>
            <w:r w:rsidRPr="00DD3825">
              <w:rPr>
                <w:rFonts w:ascii="Calibri" w:hAnsi="Calibri" w:cs="Arial"/>
                <w:szCs w:val="22"/>
              </w:rPr>
              <w:t>v07</w:t>
            </w:r>
          </w:p>
        </w:tc>
        <w:tc>
          <w:tcPr>
            <w:tcW w:w="1596" w:type="dxa"/>
            <w:vAlign w:val="bottom"/>
          </w:tcPr>
          <w:p w14:paraId="52A0A7FE" w14:textId="07151533" w:rsidR="00475365" w:rsidRDefault="00475365" w:rsidP="00475365">
            <w:r>
              <w:rPr>
                <w:rFonts w:ascii="Calibri" w:hAnsi="Calibri"/>
                <w:color w:val="000000"/>
                <w:szCs w:val="22"/>
              </w:rPr>
              <w:t>0.04369</w:t>
            </w:r>
          </w:p>
        </w:tc>
        <w:tc>
          <w:tcPr>
            <w:tcW w:w="1596" w:type="dxa"/>
            <w:vAlign w:val="bottom"/>
          </w:tcPr>
          <w:p w14:paraId="78599CC1" w14:textId="30B4FE5C" w:rsidR="00475365" w:rsidRDefault="00475365" w:rsidP="00475365">
            <w:r>
              <w:rPr>
                <w:rFonts w:ascii="Calibri" w:hAnsi="Calibri"/>
                <w:color w:val="000000"/>
                <w:szCs w:val="22"/>
              </w:rPr>
              <w:t>3.98</w:t>
            </w:r>
          </w:p>
        </w:tc>
        <w:tc>
          <w:tcPr>
            <w:tcW w:w="1596" w:type="dxa"/>
            <w:vAlign w:val="bottom"/>
          </w:tcPr>
          <w:p w14:paraId="20DF7E05" w14:textId="46F68841" w:rsidR="00475365" w:rsidRDefault="00475365" w:rsidP="00475365">
            <w:r>
              <w:rPr>
                <w:rFonts w:ascii="Calibri" w:hAnsi="Calibri"/>
                <w:color w:val="000000"/>
                <w:szCs w:val="22"/>
              </w:rPr>
              <w:t>0.0050</w:t>
            </w:r>
          </w:p>
        </w:tc>
        <w:tc>
          <w:tcPr>
            <w:tcW w:w="1596" w:type="dxa"/>
            <w:vAlign w:val="bottom"/>
          </w:tcPr>
          <w:p w14:paraId="38F23A7E" w14:textId="7EBB968D" w:rsidR="00475365" w:rsidRDefault="00475365" w:rsidP="00475365">
            <w:r>
              <w:rPr>
                <w:rFonts w:ascii="Calibri" w:hAnsi="Calibri"/>
                <w:color w:val="000000"/>
                <w:szCs w:val="22"/>
              </w:rPr>
              <w:t>2.20</w:t>
            </w:r>
          </w:p>
        </w:tc>
      </w:tr>
      <w:tr w:rsidR="00475365" w14:paraId="249C513B" w14:textId="77777777" w:rsidTr="00FB6191">
        <w:tc>
          <w:tcPr>
            <w:tcW w:w="1596" w:type="dxa"/>
            <w:vAlign w:val="bottom"/>
          </w:tcPr>
          <w:p w14:paraId="7AAB8602" w14:textId="69CD5CBE" w:rsidR="00475365" w:rsidRDefault="00475365" w:rsidP="00475365">
            <w:r w:rsidRPr="00DD3825">
              <w:rPr>
                <w:rFonts w:ascii="Calibri" w:hAnsi="Calibri" w:cs="Arial"/>
                <w:szCs w:val="22"/>
              </w:rPr>
              <w:t>PGEAsmCZ11</w:t>
            </w:r>
          </w:p>
        </w:tc>
        <w:tc>
          <w:tcPr>
            <w:tcW w:w="1596" w:type="dxa"/>
            <w:vAlign w:val="bottom"/>
          </w:tcPr>
          <w:p w14:paraId="2140F550" w14:textId="066BD62B" w:rsidR="00475365" w:rsidRDefault="00475365" w:rsidP="00FB6191">
            <w:pPr>
              <w:jc w:val="right"/>
            </w:pPr>
            <w:r w:rsidRPr="00DD3825">
              <w:rPr>
                <w:rFonts w:ascii="Calibri" w:hAnsi="Calibri" w:cs="Arial"/>
                <w:szCs w:val="22"/>
              </w:rPr>
              <w:t>v11</w:t>
            </w:r>
          </w:p>
        </w:tc>
        <w:tc>
          <w:tcPr>
            <w:tcW w:w="1596" w:type="dxa"/>
            <w:vAlign w:val="bottom"/>
          </w:tcPr>
          <w:p w14:paraId="540FB7D5" w14:textId="5FC054C2" w:rsidR="00475365" w:rsidRDefault="00475365" w:rsidP="00475365">
            <w:r>
              <w:rPr>
                <w:rFonts w:ascii="Calibri" w:hAnsi="Calibri"/>
                <w:color w:val="000000"/>
                <w:szCs w:val="22"/>
              </w:rPr>
              <w:t>0.04369</w:t>
            </w:r>
          </w:p>
        </w:tc>
        <w:tc>
          <w:tcPr>
            <w:tcW w:w="1596" w:type="dxa"/>
            <w:vAlign w:val="bottom"/>
          </w:tcPr>
          <w:p w14:paraId="7A0C41F0" w14:textId="6F227958" w:rsidR="00475365" w:rsidRDefault="00475365" w:rsidP="00475365">
            <w:r>
              <w:rPr>
                <w:rFonts w:ascii="Calibri" w:hAnsi="Calibri"/>
                <w:color w:val="000000"/>
                <w:szCs w:val="22"/>
              </w:rPr>
              <w:t>3.68</w:t>
            </w:r>
          </w:p>
        </w:tc>
        <w:tc>
          <w:tcPr>
            <w:tcW w:w="1596" w:type="dxa"/>
            <w:vAlign w:val="bottom"/>
          </w:tcPr>
          <w:p w14:paraId="434A930B" w14:textId="5100730B" w:rsidR="00475365" w:rsidRDefault="00475365" w:rsidP="00475365">
            <w:r>
              <w:rPr>
                <w:rFonts w:ascii="Calibri" w:hAnsi="Calibri"/>
                <w:color w:val="000000"/>
                <w:szCs w:val="22"/>
              </w:rPr>
              <w:t>0.0047</w:t>
            </w:r>
          </w:p>
        </w:tc>
        <w:tc>
          <w:tcPr>
            <w:tcW w:w="1596" w:type="dxa"/>
            <w:vAlign w:val="bottom"/>
          </w:tcPr>
          <w:p w14:paraId="1EF7D468" w14:textId="53A5D93B" w:rsidR="00475365" w:rsidRDefault="00475365" w:rsidP="00475365">
            <w:r>
              <w:rPr>
                <w:rFonts w:ascii="Calibri" w:hAnsi="Calibri"/>
                <w:color w:val="000000"/>
                <w:szCs w:val="22"/>
              </w:rPr>
              <w:t>2.20</w:t>
            </w:r>
          </w:p>
        </w:tc>
      </w:tr>
      <w:tr w:rsidR="00475365" w:rsidRPr="00D417C3" w14:paraId="53D8AEBE" w14:textId="77777777" w:rsidTr="00FB6191">
        <w:tc>
          <w:tcPr>
            <w:tcW w:w="1596" w:type="dxa"/>
            <w:vAlign w:val="bottom"/>
          </w:tcPr>
          <w:p w14:paraId="1BE507CC" w14:textId="25FD3FD0" w:rsidR="00475365" w:rsidRPr="00475365" w:rsidRDefault="00475365" w:rsidP="00475365">
            <w:r w:rsidRPr="00DD3825">
              <w:rPr>
                <w:rFonts w:ascii="Calibri" w:hAnsi="Calibri" w:cs="Arial"/>
                <w:szCs w:val="22"/>
              </w:rPr>
              <w:t>PGEAsmCZ11</w:t>
            </w:r>
          </w:p>
        </w:tc>
        <w:tc>
          <w:tcPr>
            <w:tcW w:w="1596" w:type="dxa"/>
          </w:tcPr>
          <w:p w14:paraId="3C68DBE6" w14:textId="4F888579" w:rsidR="00475365" w:rsidRPr="00475365" w:rsidRDefault="00475365" w:rsidP="00FB6191">
            <w:pPr>
              <w:jc w:val="right"/>
            </w:pPr>
            <w:r>
              <w:t>V14</w:t>
            </w:r>
          </w:p>
        </w:tc>
        <w:tc>
          <w:tcPr>
            <w:tcW w:w="1596" w:type="dxa"/>
            <w:vAlign w:val="bottom"/>
          </w:tcPr>
          <w:p w14:paraId="1DC8E8A3" w14:textId="74A0ED04" w:rsidR="00475365" w:rsidRPr="00FB6191" w:rsidRDefault="00475365" w:rsidP="00475365">
            <w:pPr>
              <w:rPr>
                <w:b/>
              </w:rPr>
            </w:pPr>
            <w:r>
              <w:rPr>
                <w:rFonts w:ascii="Calibri" w:hAnsi="Calibri"/>
                <w:color w:val="000000"/>
                <w:szCs w:val="22"/>
              </w:rPr>
              <w:t>0.02184</w:t>
            </w:r>
          </w:p>
        </w:tc>
        <w:tc>
          <w:tcPr>
            <w:tcW w:w="1596" w:type="dxa"/>
            <w:vAlign w:val="bottom"/>
          </w:tcPr>
          <w:p w14:paraId="3F918623" w14:textId="2F1863B3" w:rsidR="00475365" w:rsidRPr="00FB6191" w:rsidRDefault="00475365" w:rsidP="00475365">
            <w:pPr>
              <w:rPr>
                <w:b/>
              </w:rPr>
            </w:pPr>
            <w:r>
              <w:rPr>
                <w:rFonts w:ascii="Calibri" w:hAnsi="Calibri"/>
                <w:color w:val="000000"/>
                <w:szCs w:val="22"/>
              </w:rPr>
              <w:t>1.91</w:t>
            </w:r>
          </w:p>
        </w:tc>
        <w:tc>
          <w:tcPr>
            <w:tcW w:w="1596" w:type="dxa"/>
            <w:vAlign w:val="bottom"/>
          </w:tcPr>
          <w:p w14:paraId="4CD3CD26" w14:textId="314B90A1" w:rsidR="00475365" w:rsidRPr="00FB6191" w:rsidRDefault="00475365" w:rsidP="00475365">
            <w:pPr>
              <w:rPr>
                <w:b/>
              </w:rPr>
            </w:pPr>
            <w:r>
              <w:rPr>
                <w:rFonts w:ascii="Calibri" w:hAnsi="Calibri"/>
                <w:color w:val="000000"/>
                <w:szCs w:val="22"/>
              </w:rPr>
              <w:t>0.0028</w:t>
            </w:r>
          </w:p>
        </w:tc>
        <w:tc>
          <w:tcPr>
            <w:tcW w:w="1596" w:type="dxa"/>
            <w:vAlign w:val="bottom"/>
          </w:tcPr>
          <w:p w14:paraId="7471FBE0" w14:textId="5E575794" w:rsidR="00475365" w:rsidRPr="00FB6191" w:rsidRDefault="00475365" w:rsidP="00475365">
            <w:pPr>
              <w:rPr>
                <w:b/>
              </w:rPr>
            </w:pPr>
            <w:r>
              <w:rPr>
                <w:rFonts w:ascii="Calibri" w:hAnsi="Calibri"/>
                <w:color w:val="000000"/>
                <w:szCs w:val="22"/>
              </w:rPr>
              <w:t>1.18</w:t>
            </w:r>
          </w:p>
        </w:tc>
      </w:tr>
      <w:tr w:rsidR="00475365" w:rsidRPr="00475365" w14:paraId="7ED3EF51" w14:textId="77777777" w:rsidTr="00A577D0">
        <w:tc>
          <w:tcPr>
            <w:tcW w:w="1596" w:type="dxa"/>
          </w:tcPr>
          <w:p w14:paraId="7EFE5A6B" w14:textId="4A3FC889" w:rsidR="00475365" w:rsidRPr="00475365" w:rsidRDefault="00475365" w:rsidP="00475365">
            <w:pPr>
              <w:rPr>
                <w:b/>
              </w:rPr>
            </w:pPr>
            <w:r w:rsidRPr="00475365">
              <w:rPr>
                <w:b/>
              </w:rPr>
              <w:t>Final Weighted Savings</w:t>
            </w:r>
          </w:p>
        </w:tc>
        <w:tc>
          <w:tcPr>
            <w:tcW w:w="1596" w:type="dxa"/>
          </w:tcPr>
          <w:p w14:paraId="7EDFC629" w14:textId="0BFD0EB5" w:rsidR="00475365" w:rsidRPr="00475365" w:rsidRDefault="00475365" w:rsidP="00475365">
            <w:pPr>
              <w:jc w:val="right"/>
              <w:rPr>
                <w:b/>
              </w:rPr>
            </w:pPr>
            <w:r w:rsidRPr="00475365">
              <w:rPr>
                <w:b/>
              </w:rPr>
              <w:t>Existing</w:t>
            </w:r>
          </w:p>
        </w:tc>
        <w:tc>
          <w:tcPr>
            <w:tcW w:w="1596" w:type="dxa"/>
            <w:vAlign w:val="bottom"/>
          </w:tcPr>
          <w:p w14:paraId="69C20682" w14:textId="77777777" w:rsidR="00475365" w:rsidRPr="00FB6191" w:rsidRDefault="00475365" w:rsidP="00475365">
            <w:pPr>
              <w:rPr>
                <w:rFonts w:ascii="Calibri" w:hAnsi="Calibri"/>
                <w:b/>
                <w:color w:val="000000"/>
                <w:szCs w:val="22"/>
              </w:rPr>
            </w:pPr>
          </w:p>
        </w:tc>
        <w:tc>
          <w:tcPr>
            <w:tcW w:w="1596" w:type="dxa"/>
          </w:tcPr>
          <w:p w14:paraId="53808D8E" w14:textId="07142C08" w:rsidR="00475365" w:rsidRPr="00475365" w:rsidRDefault="00475365" w:rsidP="00475365">
            <w:pPr>
              <w:rPr>
                <w:b/>
              </w:rPr>
            </w:pPr>
            <w:r>
              <w:rPr>
                <w:b/>
              </w:rPr>
              <w:t>87.21</w:t>
            </w:r>
          </w:p>
        </w:tc>
        <w:tc>
          <w:tcPr>
            <w:tcW w:w="1596" w:type="dxa"/>
          </w:tcPr>
          <w:p w14:paraId="05C362BF" w14:textId="26E3BE0C" w:rsidR="00475365" w:rsidRPr="00475365" w:rsidRDefault="00475365" w:rsidP="00475365">
            <w:pPr>
              <w:rPr>
                <w:b/>
              </w:rPr>
            </w:pPr>
            <w:r>
              <w:rPr>
                <w:b/>
              </w:rPr>
              <w:t>0.1122</w:t>
            </w:r>
          </w:p>
        </w:tc>
        <w:tc>
          <w:tcPr>
            <w:tcW w:w="1596" w:type="dxa"/>
          </w:tcPr>
          <w:p w14:paraId="33AFEAEA" w14:textId="66A9C230" w:rsidR="00475365" w:rsidRPr="00475365" w:rsidRDefault="00475365" w:rsidP="00475365">
            <w:pPr>
              <w:rPr>
                <w:b/>
              </w:rPr>
            </w:pPr>
            <w:r>
              <w:rPr>
                <w:b/>
              </w:rPr>
              <w:t>47.60</w:t>
            </w:r>
          </w:p>
        </w:tc>
      </w:tr>
    </w:tbl>
    <w:p w14:paraId="52C51D97" w14:textId="77777777" w:rsidR="00DC33B3" w:rsidRPr="00667BF0" w:rsidRDefault="00DC33B3" w:rsidP="00FB6191"/>
    <w:p w14:paraId="4615CF28" w14:textId="77777777" w:rsidR="00F603FB" w:rsidRDefault="00F603FB" w:rsidP="00E16609">
      <w:pPr>
        <w:pStyle w:val="Heading1"/>
        <w:keepNext w:val="0"/>
        <w:rPr>
          <w:rFonts w:cstheme="minorHAnsi"/>
        </w:rPr>
      </w:pPr>
    </w:p>
    <w:p w14:paraId="4DB41BAB" w14:textId="77777777" w:rsidR="00F603FB" w:rsidRDefault="00F603FB" w:rsidP="00E16609">
      <w:pPr>
        <w:pStyle w:val="Heading1"/>
        <w:keepNext w:val="0"/>
        <w:rPr>
          <w:rFonts w:cstheme="minorHAnsi"/>
        </w:rPr>
      </w:pPr>
    </w:p>
    <w:p w14:paraId="6C7EC920" w14:textId="4DB902FA" w:rsidR="00E16609" w:rsidRPr="00500C4E" w:rsidRDefault="00E16609" w:rsidP="00E16609">
      <w:pPr>
        <w:pStyle w:val="Heading1"/>
        <w:keepNext w:val="0"/>
        <w:rPr>
          <w:rFonts w:cstheme="minorHAnsi"/>
        </w:rPr>
      </w:pPr>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26"/>
      <w:r w:rsidRPr="00500C4E">
        <w:rPr>
          <w:rFonts w:cstheme="minorHAnsi"/>
        </w:rPr>
        <w:t>s</w:t>
      </w:r>
    </w:p>
    <w:p w14:paraId="56F6CE47" w14:textId="31E8F7E8" w:rsidR="00CF464D" w:rsidRPr="00FB6191" w:rsidRDefault="00175D14" w:rsidP="00CF464D">
      <w:pPr>
        <w:pStyle w:val="Reminder"/>
        <w:rPr>
          <w:rFonts w:asciiTheme="minorHAnsi" w:hAnsiTheme="minorHAnsi" w:cstheme="minorHAnsi"/>
          <w:i w:val="0"/>
          <w:color w:val="auto"/>
          <w:szCs w:val="22"/>
        </w:rPr>
      </w:pPr>
      <w:r w:rsidRPr="00FB6191">
        <w:rPr>
          <w:rFonts w:asciiTheme="minorHAnsi" w:hAnsiTheme="minorHAnsi" w:cstheme="minorHAnsi"/>
          <w:i w:val="0"/>
          <w:color w:val="auto"/>
          <w:szCs w:val="22"/>
        </w:rPr>
        <w:t xml:space="preserve">Load shapes are used for portfolio lifecycle cost analysis. </w:t>
      </w:r>
      <w:r w:rsidR="00CF464D" w:rsidRPr="00FB6191">
        <w:rPr>
          <w:rFonts w:asciiTheme="minorHAnsi" w:hAnsiTheme="minorHAnsi" w:cstheme="minorHAnsi"/>
          <w:i w:val="0"/>
          <w:color w:val="auto"/>
          <w:szCs w:val="22"/>
        </w:rPr>
        <w:t>A</w:t>
      </w:r>
      <w:r w:rsidR="004A1650" w:rsidRPr="00FB6191">
        <w:rPr>
          <w:rFonts w:asciiTheme="minorHAnsi" w:hAnsiTheme="minorHAnsi" w:cstheme="minorHAnsi"/>
          <w:i w:val="0"/>
          <w:color w:val="auto"/>
          <w:szCs w:val="22"/>
        </w:rPr>
        <w:t xml:space="preserve"> </w:t>
      </w:r>
      <w:r w:rsidR="00E16609" w:rsidRPr="00FB6191">
        <w:rPr>
          <w:rFonts w:asciiTheme="minorHAnsi" w:hAnsiTheme="minorHAnsi" w:cstheme="minorHAnsi"/>
          <w:i w:val="0"/>
          <w:color w:val="auto"/>
          <w:szCs w:val="22"/>
        </w:rPr>
        <w:t>load shape</w:t>
      </w:r>
      <w:r w:rsidR="007E5076" w:rsidRPr="00FB6191">
        <w:rPr>
          <w:rFonts w:asciiTheme="minorHAnsi" w:hAnsiTheme="minorHAnsi" w:cstheme="minorHAnsi"/>
          <w:i w:val="0"/>
          <w:color w:val="auto"/>
          <w:szCs w:val="22"/>
        </w:rPr>
        <w:t xml:space="preserve"> indicates the distribution of</w:t>
      </w:r>
      <w:r w:rsidR="00CF464D" w:rsidRPr="00FB6191">
        <w:rPr>
          <w:rFonts w:asciiTheme="minorHAnsi" w:hAnsiTheme="minorHAnsi" w:cstheme="minorHAnsi"/>
          <w:i w:val="0"/>
          <w:color w:val="auto"/>
          <w:szCs w:val="22"/>
        </w:rPr>
        <w:t xml:space="preserve"> a measure’s</w:t>
      </w:r>
      <w:r w:rsidR="007E5076" w:rsidRPr="00FB6191">
        <w:rPr>
          <w:rFonts w:asciiTheme="minorHAnsi" w:hAnsiTheme="minorHAnsi" w:cstheme="minorHAnsi"/>
          <w:i w:val="0"/>
          <w:color w:val="auto"/>
          <w:szCs w:val="22"/>
        </w:rPr>
        <w:t xml:space="preserve"> energy savings </w:t>
      </w:r>
      <w:r w:rsidR="00CF464D" w:rsidRPr="00FB6191">
        <w:rPr>
          <w:rFonts w:asciiTheme="minorHAnsi" w:hAnsiTheme="minorHAnsi" w:cstheme="minorHAnsi"/>
          <w:i w:val="0"/>
          <w:color w:val="auto"/>
          <w:szCs w:val="22"/>
        </w:rPr>
        <w:t>over one year. A load shape is a set of fractions summing to unity, with one fraction per hour (or other time period).</w:t>
      </w:r>
      <w:r w:rsidRPr="00FB6191">
        <w:rPr>
          <w:rFonts w:asciiTheme="minorHAnsi" w:hAnsiTheme="minorHAnsi" w:cstheme="minorHAnsi"/>
          <w:i w:val="0"/>
          <w:color w:val="auto"/>
          <w:szCs w:val="22"/>
        </w:rPr>
        <w:t xml:space="preserve"> M</w:t>
      </w:r>
      <w:r w:rsidR="006F78D5" w:rsidRPr="00FB6191">
        <w:rPr>
          <w:rFonts w:asciiTheme="minorHAnsi" w:hAnsiTheme="minorHAnsi" w:cstheme="minorHAnsi"/>
          <w:i w:val="0"/>
          <w:color w:val="auto"/>
          <w:szCs w:val="22"/>
        </w:rPr>
        <w:t>ultiplying a savings value by the load shape value for any particular ho</w:t>
      </w:r>
      <w:r w:rsidRPr="00FB6191">
        <w:rPr>
          <w:rFonts w:asciiTheme="minorHAnsi" w:hAnsiTheme="minorHAnsi" w:cstheme="minorHAnsi"/>
          <w:i w:val="0"/>
          <w:color w:val="auto"/>
          <w:szCs w:val="22"/>
        </w:rPr>
        <w:t>ur</w:t>
      </w:r>
      <w:r w:rsidR="006F78D5" w:rsidRPr="00FB6191">
        <w:rPr>
          <w:rFonts w:asciiTheme="minorHAnsi" w:hAnsiTheme="minorHAnsi" w:cstheme="minorHAnsi"/>
          <w:i w:val="0"/>
          <w:color w:val="auto"/>
          <w:szCs w:val="22"/>
        </w:rPr>
        <w:t xml:space="preserve"> yields the energy savings for that particular hour.</w:t>
      </w:r>
      <w:r w:rsidRPr="00FB6191">
        <w:rPr>
          <w:rFonts w:asciiTheme="minorHAnsi" w:hAnsiTheme="minorHAnsi" w:cstheme="minorHAnsi"/>
          <w:i w:val="0"/>
          <w:color w:val="auto"/>
          <w:szCs w:val="22"/>
        </w:rPr>
        <w:t xml:space="preserve"> </w:t>
      </w:r>
    </w:p>
    <w:p w14:paraId="55546B29" w14:textId="77777777" w:rsidR="00CF464D" w:rsidRPr="00C018E0" w:rsidRDefault="00CF464D" w:rsidP="00CF464D">
      <w:pPr>
        <w:pStyle w:val="Reminder"/>
        <w:rPr>
          <w:rFonts w:asciiTheme="minorHAnsi" w:hAnsiTheme="minorHAnsi" w:cstheme="minorHAnsi"/>
          <w:i w:val="0"/>
          <w:szCs w:val="22"/>
        </w:rPr>
      </w:pP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500C4E" w14:paraId="3D341893" w14:textId="77777777" w:rsidTr="00920905">
        <w:tc>
          <w:tcPr>
            <w:tcW w:w="1686" w:type="pct"/>
          </w:tcPr>
          <w:p w14:paraId="4FA2FF6D" w14:textId="44A53F66" w:rsidR="00263C1C" w:rsidRPr="00FB6191" w:rsidRDefault="00152428" w:rsidP="00BA2E7E">
            <w:pPr>
              <w:rPr>
                <w:rFonts w:cstheme="minorHAnsi"/>
                <w:szCs w:val="20"/>
              </w:rPr>
            </w:pPr>
            <w:r w:rsidRPr="00FB6191">
              <w:rPr>
                <w:rFonts w:cstheme="minorHAnsi"/>
                <w:szCs w:val="20"/>
              </w:rPr>
              <w:t>All</w:t>
            </w:r>
          </w:p>
        </w:tc>
        <w:tc>
          <w:tcPr>
            <w:tcW w:w="1779" w:type="pct"/>
          </w:tcPr>
          <w:p w14:paraId="3B2DCD1E" w14:textId="127DF689" w:rsidR="00263C1C" w:rsidRPr="00FB6191" w:rsidRDefault="00152428" w:rsidP="00BA2E7E">
            <w:pPr>
              <w:rPr>
                <w:rFonts w:cstheme="minorHAnsi"/>
                <w:szCs w:val="20"/>
              </w:rPr>
            </w:pPr>
            <w:r w:rsidRPr="00152428">
              <w:rPr>
                <w:rFonts w:cs="Arial"/>
                <w:szCs w:val="20"/>
              </w:rPr>
              <w:t xml:space="preserve"> </w:t>
            </w:r>
            <w:r w:rsidR="006C3AA5" w:rsidRPr="00C1478C">
              <w:rPr>
                <w:rFonts w:cstheme="minorHAnsi"/>
                <w:szCs w:val="20"/>
              </w:rPr>
              <w:t>DEER:HVAC_Split-Package_AC, DEER:HVAC_Split-Package_HP</w:t>
            </w:r>
          </w:p>
        </w:tc>
        <w:tc>
          <w:tcPr>
            <w:tcW w:w="1535" w:type="pct"/>
          </w:tcPr>
          <w:p w14:paraId="6722CD8A" w14:textId="77777777" w:rsidR="00263C1C" w:rsidRPr="00FB6191" w:rsidRDefault="00263C1C" w:rsidP="00BA2E7E">
            <w:pPr>
              <w:rPr>
                <w:rFonts w:cstheme="minorHAnsi"/>
                <w:szCs w:val="20"/>
              </w:rPr>
            </w:pPr>
            <w:r w:rsidRPr="00FB6191">
              <w:rPr>
                <w:rFonts w:cstheme="minorHAnsi"/>
                <w:szCs w:val="20"/>
              </w:rPr>
              <w:t>NON_RES</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33" w:name="_MON_1399297811"/>
      <w:bookmarkStart w:id="34" w:name="_Toc214003097"/>
      <w:bookmarkEnd w:id="33"/>
      <w:r w:rsidRPr="00500C4E">
        <w:rPr>
          <w:rFonts w:asciiTheme="minorHAnsi" w:hAnsiTheme="minorHAnsi" w:cstheme="minorHAnsi"/>
        </w:rPr>
        <w:t>4.1 Base Case Cost</w:t>
      </w:r>
      <w:bookmarkEnd w:id="34"/>
    </w:p>
    <w:p w14:paraId="6E0D023B" w14:textId="7E176A27" w:rsidR="00313763" w:rsidRPr="00FB6191" w:rsidRDefault="00287D00" w:rsidP="00920905">
      <w:r w:rsidRPr="00FB6191">
        <w:t>The base case is the customer’s existing equipment; therefore, the base case cost is $0.00</w:t>
      </w:r>
      <w:r w:rsidR="00313763" w:rsidRPr="00FB6191">
        <w:t>.</w:t>
      </w:r>
    </w:p>
    <w:p w14:paraId="44713B57" w14:textId="77777777" w:rsidR="005A0E53" w:rsidRPr="00500C4E" w:rsidRDefault="005A0E53" w:rsidP="005A0E53">
      <w:pPr>
        <w:pStyle w:val="Heading2"/>
        <w:rPr>
          <w:rFonts w:asciiTheme="minorHAnsi" w:hAnsiTheme="minorHAnsi" w:cstheme="minorHAnsi"/>
        </w:rPr>
      </w:pPr>
      <w:bookmarkStart w:id="35" w:name="_Toc214003098"/>
      <w:r w:rsidRPr="00500C4E">
        <w:rPr>
          <w:rFonts w:asciiTheme="minorHAnsi" w:hAnsiTheme="minorHAnsi" w:cstheme="minorHAnsi"/>
        </w:rPr>
        <w:t>4.2 Measure Case Cost</w:t>
      </w:r>
    </w:p>
    <w:p w14:paraId="72317768" w14:textId="6898264E" w:rsidR="00313763" w:rsidRPr="00DE77D0" w:rsidRDefault="00313763" w:rsidP="00FE5FAF">
      <w:pPr>
        <w:rPr>
          <w:color w:val="FF0000"/>
        </w:rPr>
      </w:pPr>
      <w:r w:rsidRPr="00DD3825">
        <w:t xml:space="preserve">To develop measure cost estimates a combination of retail, manufacturer suggested retail, and distributor costs were gathered for CO2 sensors. Estimates of installation time were developed based on author’s direct experience working with contractors to install DCV in field tests of the technology. A base labor rate of $86.93 per hour was used, and was adjusted to account for local variation. A weighted average cost for the state was developed based on the methodology used for the </w:t>
      </w:r>
      <w:r w:rsidR="006B6383">
        <w:t>2010-2012 WO017 Ex Ante Measure Cost Study Final Report</w:t>
      </w:r>
      <w:r w:rsidRPr="00DD3825">
        <w:rPr>
          <w:rStyle w:val="EndnoteReference"/>
        </w:rPr>
        <w:endnoteReference w:id="11"/>
      </w:r>
      <w:r w:rsidR="00386999">
        <w:t xml:space="preserve">. </w:t>
      </w:r>
      <w:r w:rsidRPr="00DD3825">
        <w:t xml:space="preserve">The base labor rate and adjustments are in alignment with the methodology presented in </w:t>
      </w:r>
      <w:r w:rsidR="006B6383">
        <w:t>WO017</w:t>
      </w:r>
      <w:r w:rsidRPr="00DD3825">
        <w:t>.  As a controls upgrade, measure costs do not scale strongly with cooling capacity. To reference cost with the same base unit as UES values (per ton) an average capacity of 12.5 tons was assumed to be the average capacity to which the measure would be applied.</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5"/>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E01679">
        <w:tc>
          <w:tcPr>
            <w:tcW w:w="672" w:type="pct"/>
          </w:tcPr>
          <w:p w14:paraId="5021CC5B" w14:textId="77777777" w:rsidR="009C6FE0" w:rsidRPr="00DE77D0" w:rsidRDefault="009C6FE0" w:rsidP="00E01679">
            <w:pPr>
              <w:rPr>
                <w:rFonts w:cstheme="minorHAnsi"/>
                <w:szCs w:val="20"/>
              </w:rPr>
            </w:pPr>
            <w:r>
              <w:rPr>
                <w:rFonts w:cstheme="minorHAnsi"/>
                <w:szCs w:val="20"/>
              </w:rPr>
              <w:t>REF</w:t>
            </w:r>
          </w:p>
        </w:tc>
        <w:tc>
          <w:tcPr>
            <w:tcW w:w="1443" w:type="pct"/>
          </w:tcPr>
          <w:p w14:paraId="3BA9A303" w14:textId="77777777" w:rsidR="009C6FE0" w:rsidRPr="00DE77D0" w:rsidRDefault="009C6FE0" w:rsidP="00E01679">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E01679">
            <w:pPr>
              <w:rPr>
                <w:rFonts w:cstheme="minorHAnsi"/>
                <w:szCs w:val="20"/>
              </w:rPr>
            </w:pPr>
            <w:r>
              <w:rPr>
                <w:rFonts w:cstheme="minorHAnsi"/>
                <w:szCs w:val="20"/>
              </w:rPr>
              <w:t>MEC + MLC</w:t>
            </w:r>
          </w:p>
        </w:tc>
        <w:tc>
          <w:tcPr>
            <w:tcW w:w="1489" w:type="pct"/>
          </w:tcPr>
          <w:p w14:paraId="1C9B3EB4" w14:textId="77777777" w:rsidR="009C6FE0" w:rsidRPr="00DE77D0" w:rsidRDefault="009C6FE0" w:rsidP="00E01679">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4D9695BF" w14:textId="77777777" w:rsidR="00F603FB" w:rsidRDefault="00F603FB">
      <w:pPr>
        <w:rPr>
          <w:rFonts w:cs="Arial"/>
          <w:color w:val="FF0000"/>
          <w:szCs w:val="22"/>
        </w:rPr>
      </w:pPr>
    </w:p>
    <w:p w14:paraId="62D9FA6E" w14:textId="77777777" w:rsidR="00F603FB" w:rsidRDefault="00F603FB">
      <w:pPr>
        <w:rPr>
          <w:rFonts w:cs="Arial"/>
          <w:color w:val="FF0000"/>
          <w:szCs w:val="22"/>
        </w:rPr>
      </w:pPr>
    </w:p>
    <w:p w14:paraId="0AF3F83F" w14:textId="4C5DF69F" w:rsidR="00FF73B4" w:rsidRDefault="00931E45">
      <w:pPr>
        <w:rPr>
          <w:b/>
        </w:rPr>
      </w:pPr>
      <w:r>
        <w:rPr>
          <w:b/>
        </w:rPr>
        <w:lastRenderedPageBreak/>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2450"/>
        <w:gridCol w:w="1170"/>
        <w:gridCol w:w="2340"/>
        <w:gridCol w:w="2340"/>
        <w:gridCol w:w="1276"/>
      </w:tblGrid>
      <w:tr w:rsidR="00DE210B" w:rsidRPr="00500C4E" w14:paraId="7122FF83" w14:textId="77777777" w:rsidTr="00FB6191">
        <w:tc>
          <w:tcPr>
            <w:tcW w:w="1279" w:type="pct"/>
            <w:shd w:val="clear" w:color="auto" w:fill="D9D9D9" w:themeFill="background1" w:themeFillShade="D9"/>
          </w:tcPr>
          <w:p w14:paraId="6E8A84D6" w14:textId="2CEFEFBE" w:rsidR="00DE210B" w:rsidRDefault="00DE210B" w:rsidP="00175D14">
            <w:pPr>
              <w:rPr>
                <w:rFonts w:cstheme="minorHAnsi"/>
                <w:b/>
                <w:szCs w:val="20"/>
              </w:rPr>
            </w:pPr>
            <w:r w:rsidRPr="00FB6191">
              <w:rPr>
                <w:rFonts w:cstheme="minorHAnsi"/>
                <w:b/>
                <w:color w:val="000000" w:themeColor="text1"/>
                <w:szCs w:val="20"/>
              </w:rPr>
              <w:t>Measure</w:t>
            </w:r>
          </w:p>
        </w:tc>
        <w:tc>
          <w:tcPr>
            <w:tcW w:w="611" w:type="pct"/>
            <w:shd w:val="clear" w:color="auto" w:fill="D9D9D9" w:themeFill="background1" w:themeFillShade="D9"/>
          </w:tcPr>
          <w:p w14:paraId="51D383F5" w14:textId="1CA12EBB" w:rsidR="00DE210B" w:rsidRPr="00DE77D0" w:rsidRDefault="00DE210B" w:rsidP="00175D14">
            <w:pPr>
              <w:rPr>
                <w:rFonts w:cstheme="minorHAnsi"/>
                <w:b/>
                <w:szCs w:val="20"/>
                <w:highlight w:val="yellow"/>
              </w:rPr>
            </w:pPr>
            <w:r>
              <w:rPr>
                <w:rFonts w:cstheme="minorHAnsi"/>
                <w:b/>
                <w:szCs w:val="20"/>
              </w:rPr>
              <w:t>Installation Type</w:t>
            </w:r>
          </w:p>
        </w:tc>
        <w:tc>
          <w:tcPr>
            <w:tcW w:w="1222" w:type="pct"/>
            <w:shd w:val="clear" w:color="auto" w:fill="D9D9D9" w:themeFill="background1" w:themeFillShade="D9"/>
          </w:tcPr>
          <w:p w14:paraId="3A7A2512" w14:textId="77777777" w:rsidR="00DE210B" w:rsidRPr="00DE77D0" w:rsidRDefault="00DE210B" w:rsidP="00175D14">
            <w:pPr>
              <w:rPr>
                <w:rFonts w:cstheme="minorHAnsi"/>
                <w:b/>
                <w:szCs w:val="20"/>
              </w:rPr>
            </w:pPr>
            <w:r>
              <w:rPr>
                <w:rFonts w:cstheme="minorHAnsi"/>
                <w:b/>
                <w:szCs w:val="20"/>
              </w:rPr>
              <w:t>Incremental Measure Cost</w:t>
            </w:r>
          </w:p>
        </w:tc>
        <w:tc>
          <w:tcPr>
            <w:tcW w:w="1889" w:type="pct"/>
            <w:gridSpan w:val="2"/>
            <w:shd w:val="clear" w:color="auto" w:fill="D9D9D9" w:themeFill="background1" w:themeFillShade="D9"/>
          </w:tcPr>
          <w:p w14:paraId="7AECFFEC" w14:textId="77777777" w:rsidR="00DE210B" w:rsidRPr="00DE77D0" w:rsidRDefault="00DE210B" w:rsidP="00175D14">
            <w:pPr>
              <w:rPr>
                <w:rFonts w:cstheme="minorHAnsi"/>
                <w:b/>
                <w:szCs w:val="20"/>
                <w:highlight w:val="yellow"/>
              </w:rPr>
            </w:pPr>
            <w:r>
              <w:rPr>
                <w:rFonts w:cstheme="minorHAnsi"/>
                <w:b/>
                <w:szCs w:val="20"/>
              </w:rPr>
              <w:t>Full Measure Cost</w:t>
            </w:r>
          </w:p>
        </w:tc>
      </w:tr>
      <w:tr w:rsidR="002162FD" w:rsidRPr="00500C4E" w14:paraId="31204A9D" w14:textId="77777777" w:rsidTr="00FB6191">
        <w:tc>
          <w:tcPr>
            <w:tcW w:w="1279" w:type="pct"/>
          </w:tcPr>
          <w:p w14:paraId="737D1DF3" w14:textId="781144D7" w:rsidR="002162FD" w:rsidRPr="00FB6191" w:rsidRDefault="002162FD" w:rsidP="002162FD">
            <w:pPr>
              <w:rPr>
                <w:rFonts w:cstheme="minorHAnsi"/>
                <w:color w:val="000000" w:themeColor="text1"/>
                <w:szCs w:val="20"/>
              </w:rPr>
            </w:pPr>
            <w:r w:rsidRPr="00FB6191">
              <w:rPr>
                <w:rFonts w:cstheme="minorHAnsi"/>
                <w:color w:val="000000" w:themeColor="text1"/>
                <w:szCs w:val="20"/>
              </w:rPr>
              <w:t>A</w:t>
            </w:r>
            <w:r w:rsidRPr="00FB6191">
              <w:rPr>
                <w:rFonts w:cstheme="minorHAnsi"/>
                <w:color w:val="000000" w:themeColor="text1"/>
                <w:szCs w:val="20"/>
              </w:rPr>
              <w:t>dd ADEC and CO2 sensor to existing system</w:t>
            </w:r>
          </w:p>
        </w:tc>
        <w:tc>
          <w:tcPr>
            <w:tcW w:w="611" w:type="pct"/>
          </w:tcPr>
          <w:p w14:paraId="1B8D4FEE" w14:textId="43F3EC51" w:rsidR="002162FD" w:rsidRPr="00FB6191" w:rsidRDefault="002162FD" w:rsidP="002162FD">
            <w:pPr>
              <w:rPr>
                <w:rFonts w:cstheme="minorHAnsi"/>
                <w:color w:val="000000" w:themeColor="text1"/>
                <w:szCs w:val="20"/>
              </w:rPr>
            </w:pPr>
            <w:r w:rsidRPr="00FB6191">
              <w:rPr>
                <w:rFonts w:cstheme="minorHAnsi"/>
                <w:color w:val="000000" w:themeColor="text1"/>
                <w:szCs w:val="20"/>
              </w:rPr>
              <w:t>REA</w:t>
            </w:r>
          </w:p>
        </w:tc>
        <w:tc>
          <w:tcPr>
            <w:tcW w:w="1222" w:type="pct"/>
          </w:tcPr>
          <w:p w14:paraId="17400ED7" w14:textId="7FBDB06B" w:rsidR="002162FD" w:rsidRPr="00FB6191" w:rsidRDefault="002162FD" w:rsidP="002162FD">
            <w:pPr>
              <w:rPr>
                <w:rFonts w:cstheme="minorHAnsi"/>
                <w:color w:val="000000" w:themeColor="text1"/>
                <w:szCs w:val="20"/>
              </w:rPr>
            </w:pPr>
            <w:r>
              <w:rPr>
                <w:rFonts w:cstheme="minorHAnsi"/>
                <w:color w:val="000000" w:themeColor="text1"/>
                <w:szCs w:val="20"/>
              </w:rPr>
              <w:t>$79.34</w:t>
            </w:r>
            <w:r w:rsidRPr="00FB6191">
              <w:rPr>
                <w:rFonts w:cstheme="minorHAnsi"/>
                <w:color w:val="000000" w:themeColor="text1"/>
                <w:szCs w:val="20"/>
              </w:rPr>
              <w:t xml:space="preserve"> + $</w:t>
            </w:r>
            <w:r>
              <w:rPr>
                <w:rFonts w:cstheme="minorHAnsi"/>
                <w:color w:val="000000" w:themeColor="text1"/>
                <w:szCs w:val="20"/>
              </w:rPr>
              <w:t>65.64</w:t>
            </w:r>
            <w:r w:rsidRPr="00FB6191">
              <w:rPr>
                <w:rFonts w:cstheme="minorHAnsi"/>
                <w:color w:val="000000" w:themeColor="text1"/>
                <w:szCs w:val="20"/>
              </w:rPr>
              <w:t xml:space="preserve"> = </w:t>
            </w:r>
            <w:r>
              <w:rPr>
                <w:rFonts w:cstheme="minorHAnsi"/>
                <w:color w:val="000000" w:themeColor="text1"/>
                <w:szCs w:val="20"/>
              </w:rPr>
              <w:t>$144.98</w:t>
            </w:r>
          </w:p>
        </w:tc>
        <w:tc>
          <w:tcPr>
            <w:tcW w:w="1222" w:type="pct"/>
          </w:tcPr>
          <w:p w14:paraId="0F861C7C" w14:textId="2B2606A3" w:rsidR="002162FD" w:rsidRPr="00FB6191" w:rsidRDefault="002162FD" w:rsidP="002162FD">
            <w:pPr>
              <w:rPr>
                <w:rFonts w:cstheme="minorHAnsi"/>
                <w:color w:val="000000" w:themeColor="text1"/>
                <w:szCs w:val="20"/>
              </w:rPr>
            </w:pPr>
            <w:r>
              <w:rPr>
                <w:rFonts w:cstheme="minorHAnsi"/>
                <w:color w:val="000000" w:themeColor="text1"/>
                <w:szCs w:val="20"/>
              </w:rPr>
              <w:t>$79.34</w:t>
            </w:r>
            <w:r w:rsidRPr="00CF18F0">
              <w:rPr>
                <w:rFonts w:cstheme="minorHAnsi"/>
                <w:color w:val="000000" w:themeColor="text1"/>
                <w:szCs w:val="20"/>
              </w:rPr>
              <w:t xml:space="preserve"> + $</w:t>
            </w:r>
            <w:r>
              <w:rPr>
                <w:rFonts w:cstheme="minorHAnsi"/>
                <w:color w:val="000000" w:themeColor="text1"/>
                <w:szCs w:val="20"/>
              </w:rPr>
              <w:t>65.64</w:t>
            </w:r>
            <w:r w:rsidRPr="00CF18F0">
              <w:rPr>
                <w:rFonts w:cstheme="minorHAnsi"/>
                <w:color w:val="000000" w:themeColor="text1"/>
                <w:szCs w:val="20"/>
              </w:rPr>
              <w:t xml:space="preserve"> = </w:t>
            </w:r>
            <w:r>
              <w:rPr>
                <w:rFonts w:cstheme="minorHAnsi"/>
                <w:color w:val="000000" w:themeColor="text1"/>
                <w:szCs w:val="20"/>
              </w:rPr>
              <w:t>$144.98</w:t>
            </w:r>
          </w:p>
        </w:tc>
        <w:tc>
          <w:tcPr>
            <w:tcW w:w="667" w:type="pct"/>
          </w:tcPr>
          <w:p w14:paraId="26FF7460" w14:textId="77777777" w:rsidR="002162FD" w:rsidRPr="00FB6191" w:rsidRDefault="002162FD" w:rsidP="002162FD">
            <w:pPr>
              <w:rPr>
                <w:rFonts w:cstheme="minorHAnsi"/>
                <w:color w:val="000000" w:themeColor="text1"/>
                <w:szCs w:val="20"/>
              </w:rPr>
            </w:pPr>
            <w:r w:rsidRPr="00FB6191">
              <w:rPr>
                <w:rFonts w:cstheme="minorHAnsi"/>
                <w:color w:val="000000" w:themeColor="text1"/>
                <w:szCs w:val="20"/>
              </w:rPr>
              <w:t>N/A</w:t>
            </w:r>
          </w:p>
        </w:tc>
      </w:tr>
      <w:tr w:rsidR="00DE210B" w:rsidRPr="00500C4E" w14:paraId="64E9A8E4" w14:textId="77777777" w:rsidTr="00FB6191">
        <w:tc>
          <w:tcPr>
            <w:tcW w:w="1279" w:type="pct"/>
          </w:tcPr>
          <w:p w14:paraId="0098E5AE" w14:textId="2AA980D2" w:rsidR="00DE210B" w:rsidRPr="00FB6191" w:rsidRDefault="00DE210B" w:rsidP="00175D14">
            <w:pPr>
              <w:rPr>
                <w:rFonts w:cstheme="minorHAnsi"/>
                <w:color w:val="000000" w:themeColor="text1"/>
                <w:szCs w:val="20"/>
              </w:rPr>
            </w:pPr>
            <w:r w:rsidRPr="00FB6191">
              <w:rPr>
                <w:rFonts w:cstheme="minorHAnsi"/>
                <w:color w:val="000000" w:themeColor="text1"/>
                <w:szCs w:val="20"/>
              </w:rPr>
              <w:t>Add CO2 sensor to existing system with ADEC</w:t>
            </w:r>
          </w:p>
        </w:tc>
        <w:tc>
          <w:tcPr>
            <w:tcW w:w="611" w:type="pct"/>
          </w:tcPr>
          <w:p w14:paraId="3EDB244E" w14:textId="6CD9682A" w:rsidR="00DE210B" w:rsidRPr="00FB6191" w:rsidRDefault="00DE210B" w:rsidP="00175D14">
            <w:pPr>
              <w:rPr>
                <w:rFonts w:cstheme="minorHAnsi"/>
                <w:color w:val="000000" w:themeColor="text1"/>
                <w:szCs w:val="20"/>
              </w:rPr>
            </w:pPr>
            <w:r w:rsidRPr="00FB6191">
              <w:rPr>
                <w:rFonts w:cstheme="minorHAnsi"/>
                <w:color w:val="000000" w:themeColor="text1"/>
                <w:szCs w:val="20"/>
              </w:rPr>
              <w:t>REA</w:t>
            </w:r>
          </w:p>
        </w:tc>
        <w:tc>
          <w:tcPr>
            <w:tcW w:w="1222" w:type="pct"/>
          </w:tcPr>
          <w:p w14:paraId="780C91CF" w14:textId="6B7E0200" w:rsidR="00DE210B" w:rsidRPr="00FB6191" w:rsidRDefault="00234884" w:rsidP="00175D14">
            <w:pPr>
              <w:rPr>
                <w:rFonts w:cstheme="minorHAnsi"/>
                <w:color w:val="000000" w:themeColor="text1"/>
                <w:szCs w:val="20"/>
              </w:rPr>
            </w:pPr>
            <w:r>
              <w:rPr>
                <w:rFonts w:cstheme="minorHAnsi"/>
                <w:color w:val="000000" w:themeColor="text1"/>
                <w:szCs w:val="20"/>
              </w:rPr>
              <w:t>$32.48 + $32.21 = $64.69</w:t>
            </w:r>
          </w:p>
        </w:tc>
        <w:tc>
          <w:tcPr>
            <w:tcW w:w="1222" w:type="pct"/>
          </w:tcPr>
          <w:p w14:paraId="1542AB5C" w14:textId="5C1FA5D2" w:rsidR="00DE210B" w:rsidRPr="00FB6191" w:rsidRDefault="00234884" w:rsidP="00175D14">
            <w:pPr>
              <w:rPr>
                <w:rFonts w:cstheme="minorHAnsi"/>
                <w:color w:val="000000" w:themeColor="text1"/>
                <w:szCs w:val="20"/>
              </w:rPr>
            </w:pPr>
            <w:r>
              <w:rPr>
                <w:rFonts w:cstheme="minorHAnsi"/>
                <w:color w:val="000000" w:themeColor="text1"/>
                <w:szCs w:val="20"/>
              </w:rPr>
              <w:t>$32.48 + $32.21 = $64.69</w:t>
            </w:r>
          </w:p>
        </w:tc>
        <w:tc>
          <w:tcPr>
            <w:tcW w:w="667" w:type="pct"/>
          </w:tcPr>
          <w:p w14:paraId="39B4B752" w14:textId="452951D0" w:rsidR="00DE210B" w:rsidRPr="00FB6191" w:rsidRDefault="00234884" w:rsidP="00175D14">
            <w:pPr>
              <w:rPr>
                <w:rFonts w:cstheme="minorHAnsi"/>
                <w:color w:val="000000" w:themeColor="text1"/>
                <w:szCs w:val="20"/>
              </w:rPr>
            </w:pPr>
            <w:r w:rsidRPr="00FB6191">
              <w:rPr>
                <w:rFonts w:cstheme="minorHAnsi"/>
                <w:color w:val="000000" w:themeColor="text1"/>
                <w:szCs w:val="20"/>
              </w:rPr>
              <w:t>N/A</w:t>
            </w:r>
          </w:p>
        </w:tc>
      </w:tr>
    </w:tbl>
    <w:p w14:paraId="37E9FBDB" w14:textId="754E7BBE" w:rsidR="00E16609" w:rsidRPr="00920905" w:rsidRDefault="00E16609">
      <w:pPr>
        <w:rPr>
          <w:rFonts w:cstheme="minorHAnsi"/>
          <w:sz w:val="20"/>
          <w:szCs w:val="20"/>
        </w:rPr>
      </w:pPr>
      <w:bookmarkStart w:id="36" w:name="_Toc214003099"/>
      <w:r w:rsidRPr="00920905">
        <w:rPr>
          <w:rFonts w:cstheme="minorHAnsi"/>
          <w:sz w:val="20"/>
          <w:szCs w:val="20"/>
        </w:rPr>
        <w:br w:type="page"/>
      </w:r>
    </w:p>
    <w:bookmarkEnd w:id="36"/>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71C6AACC" w:rsidR="00AB36DB" w:rsidRPr="00500C4E" w:rsidRDefault="00AB36DB" w:rsidP="00E40CF9">
      <w:pPr>
        <w:pStyle w:val="Reminders"/>
        <w:rPr>
          <w:rFonts w:asciiTheme="minorHAnsi" w:hAnsiTheme="minorHAnsi" w:cstheme="minorHAnsi"/>
          <w:i w:val="0"/>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3DDEEF70" w14:textId="00153EF1" w:rsidR="00480E7B" w:rsidRPr="00920905" w:rsidRDefault="00480E7B">
      <w:pPr>
        <w:rPr>
          <w:color w:val="FF0000"/>
        </w:rPr>
      </w:pPr>
    </w:p>
    <w:sectPr w:rsidR="00480E7B" w:rsidRPr="00920905" w:rsidSect="00E87C8F">
      <w:footerReference w:type="default" r:id="rId1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01068" w14:textId="77777777" w:rsidR="00D574EA" w:rsidRDefault="00D574EA" w:rsidP="00447D6E">
      <w:r>
        <w:separator/>
      </w:r>
    </w:p>
    <w:p w14:paraId="76024576" w14:textId="77777777" w:rsidR="00D574EA" w:rsidRDefault="00D574EA"/>
  </w:endnote>
  <w:endnote w:type="continuationSeparator" w:id="0">
    <w:p w14:paraId="52A6272F" w14:textId="77777777" w:rsidR="00D574EA" w:rsidRDefault="00D574EA" w:rsidP="00447D6E">
      <w:r>
        <w:continuationSeparator/>
      </w:r>
    </w:p>
    <w:p w14:paraId="4B3A2185" w14:textId="77777777" w:rsidR="00D574EA" w:rsidRDefault="00D574EA"/>
  </w:endnote>
  <w:endnote w:id="1">
    <w:p w14:paraId="79224C05" w14:textId="77EA867A" w:rsidR="00ED7D79" w:rsidRDefault="00ED7D79">
      <w:pPr>
        <w:pStyle w:val="EndnoteText"/>
      </w:pPr>
      <w:r>
        <w:rPr>
          <w:rStyle w:val="EndnoteReference"/>
        </w:rPr>
        <w:endnoteRef/>
      </w:r>
      <w:r>
        <w:t xml:space="preserve"> </w:t>
      </w:r>
      <w:r w:rsidRPr="00BE2DC7">
        <w:t xml:space="preserve">California Energy Commission. </w:t>
      </w:r>
      <w:r w:rsidRPr="00BE2DC7">
        <w:rPr>
          <w:i/>
        </w:rPr>
        <w:t>201</w:t>
      </w:r>
      <w:r>
        <w:rPr>
          <w:i/>
        </w:rPr>
        <w:t>6</w:t>
      </w:r>
      <w:r w:rsidRPr="00BE2DC7">
        <w:rPr>
          <w:i/>
        </w:rPr>
        <w:t xml:space="preserve"> Building Energy Efficiency Standards for Residential and Nonresidential Buildings (Title 24, Part 6).</w:t>
      </w:r>
      <w:r w:rsidRPr="00BE2DC7">
        <w:t xml:space="preserve"> Sacramento, Calif</w:t>
      </w:r>
      <w:r>
        <w:t>ornia. June 2016</w:t>
      </w:r>
      <w:r w:rsidRPr="00BE2DC7">
        <w:t>.</w:t>
      </w:r>
    </w:p>
  </w:endnote>
  <w:endnote w:id="2">
    <w:p w14:paraId="2BC9C1B1" w14:textId="1FCEE47B" w:rsidR="00ED7D79" w:rsidRPr="00EB2494" w:rsidRDefault="00ED7D79" w:rsidP="00872777">
      <w:pPr>
        <w:pStyle w:val="EndnoteText"/>
      </w:pPr>
      <w:r>
        <w:rPr>
          <w:rStyle w:val="EndnoteReference"/>
        </w:rPr>
        <w:endnoteRef/>
      </w:r>
      <w:r>
        <w:t xml:space="preserve"> James J. Hirsch &amp; Associates. (2014, October 17). DEER2015 – Codes and Standards Update. Retrieved from deeresources.com: </w:t>
      </w:r>
      <w:r w:rsidRPr="000D301C">
        <w:t>http://www.deeresources.com/index.php/deer-versions/deer2015-code-update</w:t>
      </w:r>
      <w:r w:rsidDel="00E23579">
        <w:rPr>
          <w:i/>
        </w:rPr>
        <w:t xml:space="preserve"> </w:t>
      </w:r>
    </w:p>
  </w:endnote>
  <w:endnote w:id="3">
    <w:p w14:paraId="570797D8" w14:textId="777A08D8" w:rsidR="00ED7D79" w:rsidRDefault="00ED7D79">
      <w:pPr>
        <w:pStyle w:val="EndnoteText"/>
      </w:pPr>
      <w:r>
        <w:rPr>
          <w:rStyle w:val="EndnoteReference"/>
        </w:rPr>
        <w:endnoteRef/>
      </w:r>
      <w:r>
        <w:t xml:space="preserve"> </w:t>
      </w:r>
      <w:r w:rsidRPr="000D301C">
        <w:t>DNV GL, HVAC Impact Evaluation FINAL Report WO32 HVAC – Volume 1: Report, Prepared for California Public Utilities Commission, Energy Division, 1-28-2014</w:t>
      </w:r>
    </w:p>
  </w:endnote>
  <w:endnote w:id="4">
    <w:p w14:paraId="4F44160E" w14:textId="77777777" w:rsidR="00ED7D79" w:rsidRDefault="00ED7D79" w:rsidP="003E2651">
      <w:pPr>
        <w:pStyle w:val="EndnoteText"/>
      </w:pPr>
      <w:r>
        <w:rPr>
          <w:rStyle w:val="EndnoteReference"/>
        </w:rPr>
        <w:endnoteRef/>
      </w:r>
      <w:r>
        <w:t xml:space="preserve"> James J. Hirsch &amp; Associates. (2017, July 12). </w:t>
      </w:r>
      <w:r>
        <w:rPr>
          <w:i/>
        </w:rPr>
        <w:t>MASControl 3.00.29</w:t>
      </w:r>
      <w:r>
        <w:t>. Retrieved from deeresources.com:</w:t>
      </w:r>
    </w:p>
    <w:p w14:paraId="645D5846" w14:textId="020EE551" w:rsidR="00ED7D79" w:rsidRDefault="00ED7D79" w:rsidP="003E2651">
      <w:pPr>
        <w:pStyle w:val="EndnoteText"/>
      </w:pPr>
      <w:hyperlink r:id="rId1" w:history="1">
        <w:r w:rsidRPr="00D21D7F">
          <w:rPr>
            <w:rStyle w:val="Hyperlink"/>
          </w:rPr>
          <w:t>http://deeresources.com/files/DEER2016/download/SetupMASControlX32_3_00_29.msi</w:t>
        </w:r>
      </w:hyperlink>
      <w:r>
        <w:t xml:space="preserve"> and </w:t>
      </w:r>
      <w:r w:rsidRPr="005E362B">
        <w:t>http://deeresources.com/files/DEER2019/download/Update-MASControl2016-June2017.zip</w:t>
      </w:r>
    </w:p>
  </w:endnote>
  <w:endnote w:id="5">
    <w:p w14:paraId="798A106E" w14:textId="77777777" w:rsidR="00ED7D79" w:rsidRPr="00915CCA" w:rsidRDefault="00ED7D79" w:rsidP="00BA2A2C">
      <w:pPr>
        <w:pStyle w:val="EndnoteText"/>
      </w:pPr>
      <w:r w:rsidRPr="00915CCA">
        <w:rPr>
          <w:rStyle w:val="EndnoteReference"/>
        </w:rPr>
        <w:endnoteRef/>
      </w:r>
      <w:r w:rsidRPr="00915CCA">
        <w:t xml:space="preserve"> James J. Hirsch &amp; Associates. (2014, October 31). </w:t>
      </w:r>
      <w:r w:rsidRPr="00915CCA">
        <w:rPr>
          <w:i/>
        </w:rPr>
        <w:t>MASControl 3.00.27.</w:t>
      </w:r>
      <w:r w:rsidRPr="00915CCA">
        <w:t xml:space="preserve"> Retrieved from deeresources.com: http://www.deeresources.com/files/DEER2015/download/SetupMASControlX32_3_00_27.msi</w:t>
      </w:r>
    </w:p>
  </w:endnote>
  <w:endnote w:id="6">
    <w:p w14:paraId="40A53F80" w14:textId="77777777" w:rsidR="00ED7D79" w:rsidRPr="00915CCA" w:rsidRDefault="00ED7D79" w:rsidP="00BA2A2C">
      <w:pPr>
        <w:pStyle w:val="EndnoteText"/>
      </w:pPr>
      <w:r w:rsidRPr="00915CCA">
        <w:rPr>
          <w:rStyle w:val="EndnoteReference"/>
        </w:rPr>
        <w:endnoteRef/>
      </w:r>
      <w:r w:rsidRPr="00915CCA">
        <w:t xml:space="preserve"> James J. Hirsch &amp; Associates. (2013, September 9). </w:t>
      </w:r>
      <w:r w:rsidRPr="00915CCA">
        <w:rPr>
          <w:i/>
        </w:rPr>
        <w:t>MASControl 3.00.20</w:t>
      </w:r>
      <w:r w:rsidRPr="00915CCA">
        <w:t>. Retrieved from deeresources.com: http://www.deeresources.com/files/DEER2013codeUpdate/download/SetupMASControlX32_3_00_20.msi</w:t>
      </w:r>
    </w:p>
  </w:endnote>
  <w:endnote w:id="7">
    <w:p w14:paraId="1E81EEF0" w14:textId="77777777" w:rsidR="00ED7D79" w:rsidRPr="00915CCA" w:rsidRDefault="00ED7D79" w:rsidP="00BA2A2C">
      <w:pPr>
        <w:pStyle w:val="EndnoteText"/>
      </w:pPr>
      <w:r w:rsidRPr="00915CCA">
        <w:rPr>
          <w:rStyle w:val="EndnoteReference"/>
        </w:rPr>
        <w:endnoteRef/>
      </w:r>
      <w:r w:rsidRPr="00915CCA">
        <w:t xml:space="preserve"> White Box Technologies, Inc. </w:t>
      </w:r>
      <w:r w:rsidRPr="00915CCA">
        <w:rPr>
          <w:i/>
        </w:rPr>
        <w:t xml:space="preserve">CZ2010 Weather Data. </w:t>
      </w:r>
      <w:r w:rsidRPr="00915CCA">
        <w:t>Developed for California Energy Commission. http://weather.whiteboxtechnologies.com/wd-CZ2010</w:t>
      </w:r>
    </w:p>
  </w:endnote>
  <w:endnote w:id="8">
    <w:p w14:paraId="747BADF7" w14:textId="77777777" w:rsidR="00ED7D79" w:rsidRDefault="00ED7D79" w:rsidP="00152428">
      <w:pPr>
        <w:pStyle w:val="EndnoteText"/>
      </w:pPr>
      <w:r>
        <w:rPr>
          <w:rStyle w:val="EndnoteReference"/>
        </w:rPr>
        <w:endnoteRef/>
      </w:r>
      <w:r>
        <w:t xml:space="preserve"> </w:t>
      </w:r>
      <w:r w:rsidRPr="00A71E1C">
        <w:t xml:space="preserve">Lawrence Berkeley National Laboratory; James J. Hirsch &amp; Associates. (2014, February). </w:t>
      </w:r>
      <w:r w:rsidRPr="00E044FE">
        <w:rPr>
          <w:i/>
        </w:rPr>
        <w:t>DOE-2.2 Building Energy Use and Cost Analysis Program</w:t>
      </w:r>
      <w:r>
        <w:rPr>
          <w:i/>
        </w:rPr>
        <w:t xml:space="preserve"> Volume 2: Dictionary</w:t>
      </w:r>
      <w:r w:rsidRPr="00A71E1C">
        <w:t>. Retrieved from DOE2.com: http://doe2.com/download/DOE-22/DOE22Vol2-Dictionary_48r.pdf</w:t>
      </w:r>
    </w:p>
  </w:endnote>
  <w:endnote w:id="9">
    <w:p w14:paraId="0801DE1F" w14:textId="77777777" w:rsidR="00ED7D79" w:rsidRPr="000D301C" w:rsidRDefault="00ED7D79" w:rsidP="005A4518">
      <w:pPr>
        <w:pStyle w:val="EndnoteText"/>
      </w:pPr>
      <w:r w:rsidRPr="000D301C">
        <w:rPr>
          <w:rStyle w:val="EndnoteReference"/>
        </w:rPr>
        <w:endnoteRef/>
      </w:r>
      <w:r w:rsidRPr="000D301C">
        <w:t xml:space="preserve"> James J. Hirsch &amp; Associates. (2014, February 11). DEER2014 — Codes and Standards Update. Retrieved from deeresources.com: http://deeresources.com/files/DEER2013codeUpdate/download/DEER2014UpdateDocumentation_2-12-2014.pdf.</w:t>
      </w:r>
    </w:p>
  </w:endnote>
  <w:endnote w:id="10">
    <w:p w14:paraId="1E72AD58" w14:textId="77777777" w:rsidR="00ED7D79" w:rsidRPr="000D301C" w:rsidRDefault="00ED7D79" w:rsidP="00D417C3">
      <w:pPr>
        <w:pStyle w:val="EndnoteText"/>
      </w:pPr>
      <w:r w:rsidRPr="000D301C">
        <w:rPr>
          <w:rStyle w:val="EndnoteReference"/>
        </w:rPr>
        <w:endnoteRef/>
      </w:r>
      <w:r w:rsidRPr="000D301C">
        <w:t xml:space="preserve"> James J. Hirsch &amp; Associates. (2014, March 18). DEER2014 Energy Impact Weights Tables v2. Retrieved from deeresources.com: http://www.deeresources.com/files/DEER2013codeUpdate/download/DEER2014-EnergyImpact-Weights-Tables-v2.xlsx</w:t>
      </w:r>
    </w:p>
  </w:endnote>
  <w:endnote w:id="11">
    <w:p w14:paraId="23972D56" w14:textId="2EF53002" w:rsidR="00ED7D79" w:rsidRPr="000861D8" w:rsidRDefault="00ED7D79" w:rsidP="00313763">
      <w:pPr>
        <w:pStyle w:val="EndnoteText"/>
        <w:rPr>
          <w:i/>
        </w:rPr>
      </w:pPr>
      <w:r>
        <w:rPr>
          <w:rStyle w:val="EndnoteReference"/>
        </w:rPr>
        <w:endnoteRef/>
      </w:r>
      <w:r>
        <w:t xml:space="preserve"> Itron. </w:t>
      </w:r>
      <w:r w:rsidRPr="000861D8">
        <w:rPr>
          <w:i/>
        </w:rPr>
        <w:t>2010-2012 WO017</w:t>
      </w:r>
      <w:r>
        <w:rPr>
          <w:i/>
        </w:rPr>
        <w:t xml:space="preserve"> </w:t>
      </w:r>
      <w:r w:rsidRPr="000861D8">
        <w:rPr>
          <w:i/>
        </w:rPr>
        <w:t>Ex Ante Measure Cost Study</w:t>
      </w:r>
      <w:r>
        <w:rPr>
          <w:i/>
        </w:rPr>
        <w:t xml:space="preserve"> Final</w:t>
      </w:r>
      <w:r w:rsidRPr="00971A02">
        <w:rPr>
          <w:i/>
        </w:rPr>
        <w:t xml:space="preserve"> </w:t>
      </w:r>
      <w:r w:rsidRPr="0079279D">
        <w:rPr>
          <w:i/>
        </w:rPr>
        <w:t>Report</w:t>
      </w:r>
      <w:r>
        <w:rPr>
          <w:i/>
        </w:rPr>
        <w:t xml:space="preserve">. </w:t>
      </w:r>
      <w:r>
        <w:t xml:space="preserve">San Francisco, CA (2014, May 27). Retrived from </w:t>
      </w:r>
      <w:r w:rsidRPr="00D9474E">
        <w:rPr>
          <w:rStyle w:val="Hyperlink"/>
        </w:rPr>
        <w:t>http://www.calmac.org/publications/2010-2012_WO017_Ex_Ante_Measure_Cost_Study_-_Final_Report.pdf</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284E5B50" w:rsidR="00ED7D79" w:rsidRDefault="00ED7D79"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2-03T00:00:00Z">
          <w:dateFormat w:val="MMMM d, yyyy"/>
          <w:lid w:val="en-US"/>
          <w:storeMappedDataAs w:val="dateTime"/>
          <w:calendar w:val="gregorian"/>
        </w:date>
      </w:sdtPr>
      <w:sdtContent>
        <w:r>
          <w:rPr>
            <w:rFonts w:cstheme="minorHAnsi"/>
            <w:b/>
            <w:sz w:val="36"/>
            <w:szCs w:val="36"/>
          </w:rPr>
          <w:t>December 3, 2018</w:t>
        </w:r>
      </w:sdtContent>
    </w:sdt>
  </w:p>
  <w:p w14:paraId="650DB54B" w14:textId="670C7D5C" w:rsidR="00ED7D79" w:rsidRPr="009500DC" w:rsidRDefault="00ED7D79"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16B7595C" w:rsidR="00ED7D79" w:rsidRPr="009500DC" w:rsidRDefault="00ED7D79"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PGECOHVC168</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2</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Pr>
        <w:rFonts w:cstheme="minorHAnsi"/>
        <w:b/>
        <w:noProof/>
        <w:sz w:val="20"/>
        <w:szCs w:val="20"/>
      </w:rPr>
      <w:t>12</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03T00:00:00Z">
          <w:dateFormat w:val="MMMM d, yyyy"/>
          <w:lid w:val="en-US"/>
          <w:storeMappedDataAs w:val="dateTime"/>
          <w:calendar w:val="gregorian"/>
        </w:date>
      </w:sdtPr>
      <w:sdtContent>
        <w:r>
          <w:rPr>
            <w:rFonts w:cstheme="minorHAnsi"/>
            <w:b/>
            <w:sz w:val="20"/>
            <w:szCs w:val="20"/>
          </w:rPr>
          <w:t>December 3, 2018</w:t>
        </w:r>
      </w:sdtContent>
    </w:sdt>
  </w:p>
  <w:p w14:paraId="43C07EA5" w14:textId="7622AC3C" w:rsidR="00ED7D79" w:rsidRPr="009500DC" w:rsidRDefault="00ED7D79"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Pacific Gas &amp; Electric Company</w:t>
        </w:r>
      </w:sdtContent>
    </w:sdt>
  </w:p>
  <w:p w14:paraId="4AC7586E" w14:textId="77777777" w:rsidR="00ED7D79" w:rsidRDefault="00ED7D79"/>
  <w:p w14:paraId="5C9861A8" w14:textId="77777777" w:rsidR="00ED7D79" w:rsidRDefault="00ED7D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37D5C" w14:textId="77777777" w:rsidR="00D574EA" w:rsidRDefault="00D574EA" w:rsidP="00447D6E">
      <w:r>
        <w:separator/>
      </w:r>
    </w:p>
    <w:p w14:paraId="45DCDB1C" w14:textId="77777777" w:rsidR="00D574EA" w:rsidRDefault="00D574EA"/>
  </w:footnote>
  <w:footnote w:type="continuationSeparator" w:id="0">
    <w:p w14:paraId="42FE4C34" w14:textId="77777777" w:rsidR="00D574EA" w:rsidRDefault="00D574EA" w:rsidP="00447D6E">
      <w:r>
        <w:continuationSeparator/>
      </w:r>
    </w:p>
    <w:p w14:paraId="30BE4BE5" w14:textId="77777777" w:rsidR="00D574EA" w:rsidRDefault="00D574E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09B408C"/>
    <w:multiLevelType w:val="hybridMultilevel"/>
    <w:tmpl w:val="F7006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F4FC7"/>
    <w:multiLevelType w:val="hybridMultilevel"/>
    <w:tmpl w:val="75A4A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4B75DF"/>
    <w:multiLevelType w:val="hybridMultilevel"/>
    <w:tmpl w:val="8E606D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050AC"/>
    <w:multiLevelType w:val="hybridMultilevel"/>
    <w:tmpl w:val="2850D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85B0F"/>
    <w:multiLevelType w:val="hybridMultilevel"/>
    <w:tmpl w:val="AD7AB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5D023B"/>
    <w:multiLevelType w:val="multilevel"/>
    <w:tmpl w:val="87AEBA58"/>
    <w:lvl w:ilvl="0">
      <w:start w:val="1"/>
      <w:numFmt w:val="decimal"/>
      <w:lvlText w:val="%1."/>
      <w:lvlJc w:val="left"/>
      <w:pPr>
        <w:ind w:left="360" w:hanging="360"/>
      </w:pPr>
    </w:lvl>
    <w:lvl w:ilvl="1">
      <w:start w:val="4"/>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F16102A"/>
    <w:multiLevelType w:val="hybridMultilevel"/>
    <w:tmpl w:val="189C76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6C19508D"/>
    <w:multiLevelType w:val="hybridMultilevel"/>
    <w:tmpl w:val="E690BF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D142F0"/>
    <w:multiLevelType w:val="hybridMultilevel"/>
    <w:tmpl w:val="7C3690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22"/>
  </w:num>
  <w:num w:numId="4">
    <w:abstractNumId w:val="20"/>
  </w:num>
  <w:num w:numId="5">
    <w:abstractNumId w:val="20"/>
  </w:num>
  <w:num w:numId="6">
    <w:abstractNumId w:val="2"/>
  </w:num>
  <w:num w:numId="7">
    <w:abstractNumId w:val="24"/>
  </w:num>
  <w:num w:numId="8">
    <w:abstractNumId w:val="21"/>
  </w:num>
  <w:num w:numId="9">
    <w:abstractNumId w:val="13"/>
  </w:num>
  <w:num w:numId="10">
    <w:abstractNumId w:val="8"/>
  </w:num>
  <w:num w:numId="11">
    <w:abstractNumId w:val="25"/>
  </w:num>
  <w:num w:numId="12">
    <w:abstractNumId w:val="19"/>
  </w:num>
  <w:num w:numId="13">
    <w:abstractNumId w:val="12"/>
  </w:num>
  <w:num w:numId="14">
    <w:abstractNumId w:val="39"/>
  </w:num>
  <w:num w:numId="15">
    <w:abstractNumId w:val="10"/>
  </w:num>
  <w:num w:numId="16">
    <w:abstractNumId w:val="14"/>
  </w:num>
  <w:num w:numId="17">
    <w:abstractNumId w:val="6"/>
  </w:num>
  <w:num w:numId="18">
    <w:abstractNumId w:val="0"/>
  </w:num>
  <w:num w:numId="19">
    <w:abstractNumId w:val="38"/>
  </w:num>
  <w:num w:numId="20">
    <w:abstractNumId w:val="5"/>
  </w:num>
  <w:num w:numId="21">
    <w:abstractNumId w:val="27"/>
  </w:num>
  <w:num w:numId="22">
    <w:abstractNumId w:val="28"/>
  </w:num>
  <w:num w:numId="23">
    <w:abstractNumId w:val="40"/>
  </w:num>
  <w:num w:numId="24">
    <w:abstractNumId w:val="34"/>
  </w:num>
  <w:num w:numId="25">
    <w:abstractNumId w:val="15"/>
  </w:num>
  <w:num w:numId="26">
    <w:abstractNumId w:val="18"/>
  </w:num>
  <w:num w:numId="27">
    <w:abstractNumId w:val="29"/>
  </w:num>
  <w:num w:numId="28">
    <w:abstractNumId w:val="16"/>
  </w:num>
  <w:num w:numId="29">
    <w:abstractNumId w:val="9"/>
  </w:num>
  <w:num w:numId="30">
    <w:abstractNumId w:val="1"/>
  </w:num>
  <w:num w:numId="31">
    <w:abstractNumId w:val="42"/>
  </w:num>
  <w:num w:numId="32">
    <w:abstractNumId w:val="26"/>
  </w:num>
  <w:num w:numId="33">
    <w:abstractNumId w:val="33"/>
  </w:num>
  <w:num w:numId="34">
    <w:abstractNumId w:val="11"/>
  </w:num>
  <w:num w:numId="35">
    <w:abstractNumId w:val="4"/>
  </w:num>
  <w:num w:numId="36">
    <w:abstractNumId w:val="32"/>
  </w:num>
  <w:num w:numId="37">
    <w:abstractNumId w:val="7"/>
  </w:num>
  <w:num w:numId="38">
    <w:abstractNumId w:val="17"/>
  </w:num>
  <w:num w:numId="39">
    <w:abstractNumId w:val="30"/>
  </w:num>
  <w:num w:numId="40">
    <w:abstractNumId w:val="3"/>
  </w:num>
  <w:num w:numId="41">
    <w:abstractNumId w:val="41"/>
  </w:num>
  <w:num w:numId="42">
    <w:abstractNumId w:val="35"/>
  </w:num>
  <w:num w:numId="43">
    <w:abstractNumId w:val="36"/>
  </w:num>
  <w:num w:numId="44">
    <w:abstractNumId w:val="37"/>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09"/>
    <w:rsid w:val="000016DB"/>
    <w:rsid w:val="00005902"/>
    <w:rsid w:val="0001002B"/>
    <w:rsid w:val="00010806"/>
    <w:rsid w:val="00013F71"/>
    <w:rsid w:val="000173BF"/>
    <w:rsid w:val="00021727"/>
    <w:rsid w:val="00024252"/>
    <w:rsid w:val="000245B5"/>
    <w:rsid w:val="00026F93"/>
    <w:rsid w:val="00027183"/>
    <w:rsid w:val="00033EA1"/>
    <w:rsid w:val="00036D9C"/>
    <w:rsid w:val="0003746D"/>
    <w:rsid w:val="0004020F"/>
    <w:rsid w:val="000436CB"/>
    <w:rsid w:val="00052E17"/>
    <w:rsid w:val="00056947"/>
    <w:rsid w:val="00061A8E"/>
    <w:rsid w:val="00064CB3"/>
    <w:rsid w:val="00064E9D"/>
    <w:rsid w:val="00070BEE"/>
    <w:rsid w:val="00072040"/>
    <w:rsid w:val="00076DF4"/>
    <w:rsid w:val="00076F51"/>
    <w:rsid w:val="00083113"/>
    <w:rsid w:val="00086F7F"/>
    <w:rsid w:val="0009074D"/>
    <w:rsid w:val="0009592B"/>
    <w:rsid w:val="000968C6"/>
    <w:rsid w:val="000A63C9"/>
    <w:rsid w:val="000B3765"/>
    <w:rsid w:val="000B655B"/>
    <w:rsid w:val="000C0000"/>
    <w:rsid w:val="000C18CC"/>
    <w:rsid w:val="000C687D"/>
    <w:rsid w:val="000C73BD"/>
    <w:rsid w:val="000C7ED1"/>
    <w:rsid w:val="000D789A"/>
    <w:rsid w:val="000E4B5F"/>
    <w:rsid w:val="000E706D"/>
    <w:rsid w:val="000E72B5"/>
    <w:rsid w:val="000F130A"/>
    <w:rsid w:val="000F4FD8"/>
    <w:rsid w:val="00107242"/>
    <w:rsid w:val="00111CC5"/>
    <w:rsid w:val="001206F7"/>
    <w:rsid w:val="001236C1"/>
    <w:rsid w:val="00133EE8"/>
    <w:rsid w:val="00140B30"/>
    <w:rsid w:val="00147155"/>
    <w:rsid w:val="00152428"/>
    <w:rsid w:val="00153CB3"/>
    <w:rsid w:val="00154C3B"/>
    <w:rsid w:val="00160158"/>
    <w:rsid w:val="00160C80"/>
    <w:rsid w:val="00165357"/>
    <w:rsid w:val="001722B7"/>
    <w:rsid w:val="001727D9"/>
    <w:rsid w:val="00174BB4"/>
    <w:rsid w:val="00175D14"/>
    <w:rsid w:val="00180553"/>
    <w:rsid w:val="001811EE"/>
    <w:rsid w:val="00185AD4"/>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474E"/>
    <w:rsid w:val="00205C45"/>
    <w:rsid w:val="0021035B"/>
    <w:rsid w:val="00211153"/>
    <w:rsid w:val="002162FD"/>
    <w:rsid w:val="0022596E"/>
    <w:rsid w:val="00227555"/>
    <w:rsid w:val="0023254A"/>
    <w:rsid w:val="002344FB"/>
    <w:rsid w:val="00234884"/>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8770D"/>
    <w:rsid w:val="00287D00"/>
    <w:rsid w:val="00290ED8"/>
    <w:rsid w:val="00296118"/>
    <w:rsid w:val="00296B49"/>
    <w:rsid w:val="002A03FC"/>
    <w:rsid w:val="002A1843"/>
    <w:rsid w:val="002A3D26"/>
    <w:rsid w:val="002A523E"/>
    <w:rsid w:val="002B1ADF"/>
    <w:rsid w:val="002B502E"/>
    <w:rsid w:val="002B657B"/>
    <w:rsid w:val="002C2853"/>
    <w:rsid w:val="002C444C"/>
    <w:rsid w:val="002C458F"/>
    <w:rsid w:val="002C6C20"/>
    <w:rsid w:val="002C6C7A"/>
    <w:rsid w:val="002C6D15"/>
    <w:rsid w:val="002C7F78"/>
    <w:rsid w:val="002D5277"/>
    <w:rsid w:val="002D71FA"/>
    <w:rsid w:val="002D73AF"/>
    <w:rsid w:val="002E4FD9"/>
    <w:rsid w:val="002E5B58"/>
    <w:rsid w:val="002F1437"/>
    <w:rsid w:val="002F3943"/>
    <w:rsid w:val="002F4E34"/>
    <w:rsid w:val="002F6A42"/>
    <w:rsid w:val="002F79E7"/>
    <w:rsid w:val="003003EC"/>
    <w:rsid w:val="003018D7"/>
    <w:rsid w:val="003035E3"/>
    <w:rsid w:val="0030363A"/>
    <w:rsid w:val="00313763"/>
    <w:rsid w:val="00317970"/>
    <w:rsid w:val="00317EB0"/>
    <w:rsid w:val="00332700"/>
    <w:rsid w:val="003358BD"/>
    <w:rsid w:val="00344E88"/>
    <w:rsid w:val="00345D80"/>
    <w:rsid w:val="003471D4"/>
    <w:rsid w:val="00350BF1"/>
    <w:rsid w:val="00353C49"/>
    <w:rsid w:val="003540B1"/>
    <w:rsid w:val="003557E9"/>
    <w:rsid w:val="003560BA"/>
    <w:rsid w:val="003575BD"/>
    <w:rsid w:val="00364CC6"/>
    <w:rsid w:val="003650F6"/>
    <w:rsid w:val="0036726C"/>
    <w:rsid w:val="0038188F"/>
    <w:rsid w:val="003832D2"/>
    <w:rsid w:val="003845E5"/>
    <w:rsid w:val="00386999"/>
    <w:rsid w:val="00393137"/>
    <w:rsid w:val="00397406"/>
    <w:rsid w:val="003A3170"/>
    <w:rsid w:val="003A360E"/>
    <w:rsid w:val="003B6BFB"/>
    <w:rsid w:val="003D17FF"/>
    <w:rsid w:val="003D2871"/>
    <w:rsid w:val="003D5B83"/>
    <w:rsid w:val="003D78F2"/>
    <w:rsid w:val="003E2651"/>
    <w:rsid w:val="003E6E47"/>
    <w:rsid w:val="003F0623"/>
    <w:rsid w:val="003F1431"/>
    <w:rsid w:val="003F1CAE"/>
    <w:rsid w:val="003F33DE"/>
    <w:rsid w:val="003F3A41"/>
    <w:rsid w:val="003F67E9"/>
    <w:rsid w:val="0040032F"/>
    <w:rsid w:val="00401031"/>
    <w:rsid w:val="004023B7"/>
    <w:rsid w:val="004045A0"/>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5365"/>
    <w:rsid w:val="00477522"/>
    <w:rsid w:val="00480E7B"/>
    <w:rsid w:val="004843E5"/>
    <w:rsid w:val="00484BF6"/>
    <w:rsid w:val="0049052C"/>
    <w:rsid w:val="00493457"/>
    <w:rsid w:val="00494628"/>
    <w:rsid w:val="0049566B"/>
    <w:rsid w:val="00497338"/>
    <w:rsid w:val="004A1650"/>
    <w:rsid w:val="004A1B39"/>
    <w:rsid w:val="004B1184"/>
    <w:rsid w:val="004B4A3A"/>
    <w:rsid w:val="004B4BF3"/>
    <w:rsid w:val="004B5CE5"/>
    <w:rsid w:val="004B750E"/>
    <w:rsid w:val="004C077B"/>
    <w:rsid w:val="004C2244"/>
    <w:rsid w:val="004C23F1"/>
    <w:rsid w:val="004C287D"/>
    <w:rsid w:val="004D069A"/>
    <w:rsid w:val="004E01F5"/>
    <w:rsid w:val="004E297E"/>
    <w:rsid w:val="004E3F75"/>
    <w:rsid w:val="004E76CA"/>
    <w:rsid w:val="004F1698"/>
    <w:rsid w:val="004F26E7"/>
    <w:rsid w:val="00500C4E"/>
    <w:rsid w:val="00505CEC"/>
    <w:rsid w:val="0051020F"/>
    <w:rsid w:val="00513CAB"/>
    <w:rsid w:val="00516CF5"/>
    <w:rsid w:val="00523597"/>
    <w:rsid w:val="00523736"/>
    <w:rsid w:val="00531E3C"/>
    <w:rsid w:val="00532530"/>
    <w:rsid w:val="00535CA4"/>
    <w:rsid w:val="005476F6"/>
    <w:rsid w:val="00551D72"/>
    <w:rsid w:val="005540B6"/>
    <w:rsid w:val="005552C3"/>
    <w:rsid w:val="00560934"/>
    <w:rsid w:val="00561596"/>
    <w:rsid w:val="00563E58"/>
    <w:rsid w:val="00564960"/>
    <w:rsid w:val="00570654"/>
    <w:rsid w:val="00570F38"/>
    <w:rsid w:val="005720F2"/>
    <w:rsid w:val="00572405"/>
    <w:rsid w:val="005729C8"/>
    <w:rsid w:val="00572D2F"/>
    <w:rsid w:val="005734A4"/>
    <w:rsid w:val="00594EF5"/>
    <w:rsid w:val="005A0E53"/>
    <w:rsid w:val="005A1078"/>
    <w:rsid w:val="005A4518"/>
    <w:rsid w:val="005A4658"/>
    <w:rsid w:val="005A496B"/>
    <w:rsid w:val="005B28C1"/>
    <w:rsid w:val="005B6344"/>
    <w:rsid w:val="005C1C74"/>
    <w:rsid w:val="005C2E48"/>
    <w:rsid w:val="005C3F23"/>
    <w:rsid w:val="005C6ABF"/>
    <w:rsid w:val="005D4DD7"/>
    <w:rsid w:val="005E12A9"/>
    <w:rsid w:val="005F139E"/>
    <w:rsid w:val="005F69D5"/>
    <w:rsid w:val="00602799"/>
    <w:rsid w:val="00602F18"/>
    <w:rsid w:val="00605454"/>
    <w:rsid w:val="00607C30"/>
    <w:rsid w:val="006110F3"/>
    <w:rsid w:val="00612041"/>
    <w:rsid w:val="00614AFF"/>
    <w:rsid w:val="00621ABA"/>
    <w:rsid w:val="0062322A"/>
    <w:rsid w:val="00631157"/>
    <w:rsid w:val="00637956"/>
    <w:rsid w:val="006404E6"/>
    <w:rsid w:val="0064680F"/>
    <w:rsid w:val="0064729D"/>
    <w:rsid w:val="00647ABE"/>
    <w:rsid w:val="006516BA"/>
    <w:rsid w:val="00664B05"/>
    <w:rsid w:val="00665C04"/>
    <w:rsid w:val="0066682D"/>
    <w:rsid w:val="00667BF0"/>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B6383"/>
    <w:rsid w:val="006C2C55"/>
    <w:rsid w:val="006C3AA5"/>
    <w:rsid w:val="006C430A"/>
    <w:rsid w:val="006C7AB9"/>
    <w:rsid w:val="006D2809"/>
    <w:rsid w:val="006D4915"/>
    <w:rsid w:val="006D5FAE"/>
    <w:rsid w:val="006E149A"/>
    <w:rsid w:val="006E27A3"/>
    <w:rsid w:val="006E3342"/>
    <w:rsid w:val="006E4B12"/>
    <w:rsid w:val="006E65D0"/>
    <w:rsid w:val="006F1B21"/>
    <w:rsid w:val="006F21E8"/>
    <w:rsid w:val="006F78D5"/>
    <w:rsid w:val="0070091B"/>
    <w:rsid w:val="007048AC"/>
    <w:rsid w:val="00726338"/>
    <w:rsid w:val="00726AD5"/>
    <w:rsid w:val="00733C7D"/>
    <w:rsid w:val="00740761"/>
    <w:rsid w:val="00745F77"/>
    <w:rsid w:val="007464DE"/>
    <w:rsid w:val="00751C7B"/>
    <w:rsid w:val="007529EA"/>
    <w:rsid w:val="00755A45"/>
    <w:rsid w:val="00760CDC"/>
    <w:rsid w:val="00764D0D"/>
    <w:rsid w:val="00777C53"/>
    <w:rsid w:val="00786E92"/>
    <w:rsid w:val="007933F1"/>
    <w:rsid w:val="007A5F52"/>
    <w:rsid w:val="007B090A"/>
    <w:rsid w:val="007C6832"/>
    <w:rsid w:val="007E43F8"/>
    <w:rsid w:val="007E5076"/>
    <w:rsid w:val="007E656B"/>
    <w:rsid w:val="007E6E8B"/>
    <w:rsid w:val="007F2997"/>
    <w:rsid w:val="007F50E8"/>
    <w:rsid w:val="007F54E2"/>
    <w:rsid w:val="007F7FBA"/>
    <w:rsid w:val="00800319"/>
    <w:rsid w:val="0080044E"/>
    <w:rsid w:val="00800706"/>
    <w:rsid w:val="0080189A"/>
    <w:rsid w:val="00801F7F"/>
    <w:rsid w:val="00803C2B"/>
    <w:rsid w:val="00803C9A"/>
    <w:rsid w:val="00811945"/>
    <w:rsid w:val="00824F1C"/>
    <w:rsid w:val="00826688"/>
    <w:rsid w:val="00831D21"/>
    <w:rsid w:val="0083369B"/>
    <w:rsid w:val="00835D38"/>
    <w:rsid w:val="00847A4E"/>
    <w:rsid w:val="00871D79"/>
    <w:rsid w:val="00872777"/>
    <w:rsid w:val="0087393E"/>
    <w:rsid w:val="00881A42"/>
    <w:rsid w:val="00882386"/>
    <w:rsid w:val="0088361D"/>
    <w:rsid w:val="00885E0A"/>
    <w:rsid w:val="0088603B"/>
    <w:rsid w:val="008877AF"/>
    <w:rsid w:val="00893FC3"/>
    <w:rsid w:val="0089577B"/>
    <w:rsid w:val="00896B5E"/>
    <w:rsid w:val="008B1024"/>
    <w:rsid w:val="008B1357"/>
    <w:rsid w:val="008B2DF3"/>
    <w:rsid w:val="008C2E0E"/>
    <w:rsid w:val="008C4DE0"/>
    <w:rsid w:val="008D3930"/>
    <w:rsid w:val="008D67F9"/>
    <w:rsid w:val="008E17CC"/>
    <w:rsid w:val="008E25B1"/>
    <w:rsid w:val="008E56FB"/>
    <w:rsid w:val="008F2167"/>
    <w:rsid w:val="008F2997"/>
    <w:rsid w:val="008F33B4"/>
    <w:rsid w:val="008F6298"/>
    <w:rsid w:val="0090077A"/>
    <w:rsid w:val="00900F47"/>
    <w:rsid w:val="00904ADA"/>
    <w:rsid w:val="00905DFE"/>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62CC3"/>
    <w:rsid w:val="00972C81"/>
    <w:rsid w:val="009824E9"/>
    <w:rsid w:val="009826E5"/>
    <w:rsid w:val="009844A1"/>
    <w:rsid w:val="00986E20"/>
    <w:rsid w:val="00995479"/>
    <w:rsid w:val="00995CB0"/>
    <w:rsid w:val="00997E77"/>
    <w:rsid w:val="009A2734"/>
    <w:rsid w:val="009B1EBF"/>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65F0"/>
    <w:rsid w:val="00A37F42"/>
    <w:rsid w:val="00A40886"/>
    <w:rsid w:val="00A4411F"/>
    <w:rsid w:val="00A500D6"/>
    <w:rsid w:val="00A523FF"/>
    <w:rsid w:val="00A54756"/>
    <w:rsid w:val="00A54C66"/>
    <w:rsid w:val="00A577D0"/>
    <w:rsid w:val="00A57D36"/>
    <w:rsid w:val="00A61BB6"/>
    <w:rsid w:val="00A65734"/>
    <w:rsid w:val="00A6687F"/>
    <w:rsid w:val="00A67907"/>
    <w:rsid w:val="00A73CC1"/>
    <w:rsid w:val="00A80270"/>
    <w:rsid w:val="00A82DB1"/>
    <w:rsid w:val="00A84127"/>
    <w:rsid w:val="00A86DA2"/>
    <w:rsid w:val="00A90DFC"/>
    <w:rsid w:val="00A91BF3"/>
    <w:rsid w:val="00AA0A9C"/>
    <w:rsid w:val="00AA16C0"/>
    <w:rsid w:val="00AA4CDC"/>
    <w:rsid w:val="00AB21D4"/>
    <w:rsid w:val="00AB21F5"/>
    <w:rsid w:val="00AB3386"/>
    <w:rsid w:val="00AB36DB"/>
    <w:rsid w:val="00AC0B1D"/>
    <w:rsid w:val="00AC2F5B"/>
    <w:rsid w:val="00AC3DAD"/>
    <w:rsid w:val="00AC5309"/>
    <w:rsid w:val="00AC5B97"/>
    <w:rsid w:val="00AC73E5"/>
    <w:rsid w:val="00AD4DD0"/>
    <w:rsid w:val="00AE0A8D"/>
    <w:rsid w:val="00AE38D6"/>
    <w:rsid w:val="00AF61FC"/>
    <w:rsid w:val="00AF6342"/>
    <w:rsid w:val="00B053FB"/>
    <w:rsid w:val="00B05647"/>
    <w:rsid w:val="00B07EE5"/>
    <w:rsid w:val="00B1566B"/>
    <w:rsid w:val="00B21CC5"/>
    <w:rsid w:val="00B26778"/>
    <w:rsid w:val="00B26B83"/>
    <w:rsid w:val="00B32479"/>
    <w:rsid w:val="00B33FE2"/>
    <w:rsid w:val="00B403ED"/>
    <w:rsid w:val="00B4065F"/>
    <w:rsid w:val="00B45091"/>
    <w:rsid w:val="00B45447"/>
    <w:rsid w:val="00B614F1"/>
    <w:rsid w:val="00B866B4"/>
    <w:rsid w:val="00B94226"/>
    <w:rsid w:val="00BA0A8C"/>
    <w:rsid w:val="00BA0CEB"/>
    <w:rsid w:val="00BA2383"/>
    <w:rsid w:val="00BA2A2C"/>
    <w:rsid w:val="00BA2E7E"/>
    <w:rsid w:val="00BA590A"/>
    <w:rsid w:val="00BA5FE4"/>
    <w:rsid w:val="00BB0B39"/>
    <w:rsid w:val="00BB30D1"/>
    <w:rsid w:val="00BB39D8"/>
    <w:rsid w:val="00BB5F75"/>
    <w:rsid w:val="00BC6524"/>
    <w:rsid w:val="00BD3931"/>
    <w:rsid w:val="00BD44A5"/>
    <w:rsid w:val="00BD5B88"/>
    <w:rsid w:val="00BD5F58"/>
    <w:rsid w:val="00BE0AEB"/>
    <w:rsid w:val="00C018E0"/>
    <w:rsid w:val="00C05AAF"/>
    <w:rsid w:val="00C118C7"/>
    <w:rsid w:val="00C16E1B"/>
    <w:rsid w:val="00C20877"/>
    <w:rsid w:val="00C20E7B"/>
    <w:rsid w:val="00C21456"/>
    <w:rsid w:val="00C24D03"/>
    <w:rsid w:val="00C25E61"/>
    <w:rsid w:val="00C35A1B"/>
    <w:rsid w:val="00C36F08"/>
    <w:rsid w:val="00C3759C"/>
    <w:rsid w:val="00C413F3"/>
    <w:rsid w:val="00C54EFF"/>
    <w:rsid w:val="00C55D03"/>
    <w:rsid w:val="00C63548"/>
    <w:rsid w:val="00C63F96"/>
    <w:rsid w:val="00C64293"/>
    <w:rsid w:val="00C64F63"/>
    <w:rsid w:val="00C65450"/>
    <w:rsid w:val="00C677AF"/>
    <w:rsid w:val="00C67E59"/>
    <w:rsid w:val="00C72B8B"/>
    <w:rsid w:val="00C72CB5"/>
    <w:rsid w:val="00C76D4F"/>
    <w:rsid w:val="00C805BC"/>
    <w:rsid w:val="00C91676"/>
    <w:rsid w:val="00C959CA"/>
    <w:rsid w:val="00C95D16"/>
    <w:rsid w:val="00CA2AB4"/>
    <w:rsid w:val="00CB0100"/>
    <w:rsid w:val="00CB04D2"/>
    <w:rsid w:val="00CD7EFE"/>
    <w:rsid w:val="00CE0C66"/>
    <w:rsid w:val="00CE28CF"/>
    <w:rsid w:val="00CE4386"/>
    <w:rsid w:val="00CE4CDC"/>
    <w:rsid w:val="00CE5BEB"/>
    <w:rsid w:val="00CE69E9"/>
    <w:rsid w:val="00CE71F2"/>
    <w:rsid w:val="00CF3F65"/>
    <w:rsid w:val="00CF464D"/>
    <w:rsid w:val="00D146FE"/>
    <w:rsid w:val="00D15A7B"/>
    <w:rsid w:val="00D17EF4"/>
    <w:rsid w:val="00D23770"/>
    <w:rsid w:val="00D25074"/>
    <w:rsid w:val="00D2747B"/>
    <w:rsid w:val="00D34517"/>
    <w:rsid w:val="00D36798"/>
    <w:rsid w:val="00D417C3"/>
    <w:rsid w:val="00D47E80"/>
    <w:rsid w:val="00D574EA"/>
    <w:rsid w:val="00D70563"/>
    <w:rsid w:val="00D70D89"/>
    <w:rsid w:val="00D72051"/>
    <w:rsid w:val="00D7380B"/>
    <w:rsid w:val="00D75D77"/>
    <w:rsid w:val="00D7639E"/>
    <w:rsid w:val="00D8122F"/>
    <w:rsid w:val="00D812EA"/>
    <w:rsid w:val="00D835EF"/>
    <w:rsid w:val="00D85F09"/>
    <w:rsid w:val="00D86A9D"/>
    <w:rsid w:val="00D9474E"/>
    <w:rsid w:val="00DA089A"/>
    <w:rsid w:val="00DA11A0"/>
    <w:rsid w:val="00DA2822"/>
    <w:rsid w:val="00DA690B"/>
    <w:rsid w:val="00DA7225"/>
    <w:rsid w:val="00DB44E9"/>
    <w:rsid w:val="00DC1966"/>
    <w:rsid w:val="00DC3259"/>
    <w:rsid w:val="00DC33B3"/>
    <w:rsid w:val="00DD0523"/>
    <w:rsid w:val="00DE210B"/>
    <w:rsid w:val="00DE5758"/>
    <w:rsid w:val="00DE5FCF"/>
    <w:rsid w:val="00DF0D19"/>
    <w:rsid w:val="00DF15C4"/>
    <w:rsid w:val="00DF2EE9"/>
    <w:rsid w:val="00DF6FD8"/>
    <w:rsid w:val="00DF74D6"/>
    <w:rsid w:val="00E01679"/>
    <w:rsid w:val="00E05A80"/>
    <w:rsid w:val="00E06A37"/>
    <w:rsid w:val="00E071A5"/>
    <w:rsid w:val="00E07752"/>
    <w:rsid w:val="00E16609"/>
    <w:rsid w:val="00E16A58"/>
    <w:rsid w:val="00E16F08"/>
    <w:rsid w:val="00E233F3"/>
    <w:rsid w:val="00E23579"/>
    <w:rsid w:val="00E26B34"/>
    <w:rsid w:val="00E314BA"/>
    <w:rsid w:val="00E325BE"/>
    <w:rsid w:val="00E326BA"/>
    <w:rsid w:val="00E34202"/>
    <w:rsid w:val="00E37F72"/>
    <w:rsid w:val="00E40BE5"/>
    <w:rsid w:val="00E40CF9"/>
    <w:rsid w:val="00E42A30"/>
    <w:rsid w:val="00E5625D"/>
    <w:rsid w:val="00E6174B"/>
    <w:rsid w:val="00E648BB"/>
    <w:rsid w:val="00E67ACA"/>
    <w:rsid w:val="00E76B31"/>
    <w:rsid w:val="00E81F3E"/>
    <w:rsid w:val="00E844BB"/>
    <w:rsid w:val="00E84C48"/>
    <w:rsid w:val="00E859BD"/>
    <w:rsid w:val="00E86B70"/>
    <w:rsid w:val="00E87C8F"/>
    <w:rsid w:val="00E924C3"/>
    <w:rsid w:val="00E94C97"/>
    <w:rsid w:val="00E954EE"/>
    <w:rsid w:val="00E96759"/>
    <w:rsid w:val="00EA2D99"/>
    <w:rsid w:val="00EA4437"/>
    <w:rsid w:val="00EA4D87"/>
    <w:rsid w:val="00EB34FC"/>
    <w:rsid w:val="00EB70FC"/>
    <w:rsid w:val="00EB76E1"/>
    <w:rsid w:val="00EC2499"/>
    <w:rsid w:val="00ED7D79"/>
    <w:rsid w:val="00EE4120"/>
    <w:rsid w:val="00EE7BA3"/>
    <w:rsid w:val="00EF2E8A"/>
    <w:rsid w:val="00EF3F0F"/>
    <w:rsid w:val="00EF4E6B"/>
    <w:rsid w:val="00EF5416"/>
    <w:rsid w:val="00F04448"/>
    <w:rsid w:val="00F06CCF"/>
    <w:rsid w:val="00F1053D"/>
    <w:rsid w:val="00F110D5"/>
    <w:rsid w:val="00F11E63"/>
    <w:rsid w:val="00F12733"/>
    <w:rsid w:val="00F171E1"/>
    <w:rsid w:val="00F20DCF"/>
    <w:rsid w:val="00F25B36"/>
    <w:rsid w:val="00F3052A"/>
    <w:rsid w:val="00F341E3"/>
    <w:rsid w:val="00F35997"/>
    <w:rsid w:val="00F35D09"/>
    <w:rsid w:val="00F4304D"/>
    <w:rsid w:val="00F46612"/>
    <w:rsid w:val="00F466C7"/>
    <w:rsid w:val="00F4752B"/>
    <w:rsid w:val="00F476E8"/>
    <w:rsid w:val="00F50B9D"/>
    <w:rsid w:val="00F541AE"/>
    <w:rsid w:val="00F56792"/>
    <w:rsid w:val="00F571A6"/>
    <w:rsid w:val="00F6018B"/>
    <w:rsid w:val="00F60265"/>
    <w:rsid w:val="00F603FB"/>
    <w:rsid w:val="00F60E32"/>
    <w:rsid w:val="00F644FF"/>
    <w:rsid w:val="00F65ABA"/>
    <w:rsid w:val="00F65E15"/>
    <w:rsid w:val="00F7242E"/>
    <w:rsid w:val="00F74B33"/>
    <w:rsid w:val="00F76DBA"/>
    <w:rsid w:val="00F810DD"/>
    <w:rsid w:val="00F95E2F"/>
    <w:rsid w:val="00F96DEB"/>
    <w:rsid w:val="00FA1872"/>
    <w:rsid w:val="00FA2B6B"/>
    <w:rsid w:val="00FA4F34"/>
    <w:rsid w:val="00FB2590"/>
    <w:rsid w:val="00FB6191"/>
    <w:rsid w:val="00FD3FC2"/>
    <w:rsid w:val="00FD5A8C"/>
    <w:rsid w:val="00FD7594"/>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63AE44F7-D762-425A-828C-0F4D9D13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customStyle="1" w:styleId="PGEWorkPaper">
    <w:name w:val="PG&amp;E Work Paper"/>
    <w:basedOn w:val="TableContemporary"/>
    <w:uiPriority w:val="99"/>
    <w:rsid w:val="00872777"/>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5C6ABF"/>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082064">
      <w:bodyDiv w:val="1"/>
      <w:marLeft w:val="0"/>
      <w:marRight w:val="0"/>
      <w:marTop w:val="0"/>
      <w:marBottom w:val="0"/>
      <w:divBdr>
        <w:top w:val="none" w:sz="0" w:space="0" w:color="auto"/>
        <w:left w:val="none" w:sz="0" w:space="0" w:color="auto"/>
        <w:bottom w:val="none" w:sz="0" w:space="0" w:color="auto"/>
        <w:right w:val="none" w:sz="0" w:space="0" w:color="auto"/>
      </w:divBdr>
    </w:div>
    <w:div w:id="57635585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altf.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endnotes.xml.rels><?xml version="1.0" encoding="UTF-8" standalone="yes"?>
<Relationships xmlns="http://schemas.openxmlformats.org/package/2006/relationships"><Relationship Id="rId1" Type="http://schemas.openxmlformats.org/officeDocument/2006/relationships/hyperlink" Target="http://deeresources.com/files/DEER2016/download/SetupMASControlX32_3_00_29.ms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10E4C"/>
    <w:rsid w:val="00146151"/>
    <w:rsid w:val="00204A7F"/>
    <w:rsid w:val="002B514B"/>
    <w:rsid w:val="002C0C03"/>
    <w:rsid w:val="00311B0D"/>
    <w:rsid w:val="00336FC7"/>
    <w:rsid w:val="003A131F"/>
    <w:rsid w:val="00490419"/>
    <w:rsid w:val="00560392"/>
    <w:rsid w:val="006B7FA8"/>
    <w:rsid w:val="008211B5"/>
    <w:rsid w:val="00874653"/>
    <w:rsid w:val="00A5022A"/>
    <w:rsid w:val="00AE4C28"/>
    <w:rsid w:val="00B73964"/>
    <w:rsid w:val="00B74704"/>
    <w:rsid w:val="00BF3AB0"/>
    <w:rsid w:val="00C947B8"/>
    <w:rsid w:val="00D0496D"/>
    <w:rsid w:val="00D051F5"/>
    <w:rsid w:val="00D4159B"/>
    <w:rsid w:val="00EC59D9"/>
    <w:rsid w:val="00F61D0B"/>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2018-12-03T00:00:00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3.xml><?xml version="1.0" encoding="utf-8"?>
<ds:datastoreItem xmlns:ds="http://schemas.openxmlformats.org/officeDocument/2006/customXml" ds:itemID="{376E1CE7-E760-4990-964F-38F447B90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5.xml><?xml version="1.0" encoding="utf-8"?>
<ds:datastoreItem xmlns:ds="http://schemas.openxmlformats.org/officeDocument/2006/customXml" ds:itemID="{1D90CEAF-B5A0-42BE-AA86-E66821D61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22</Pages>
  <Words>6252</Words>
  <Characters>35637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PGECOHVC168</vt:lpstr>
    </vt:vector>
  </TitlesOfParts>
  <Company>Pacific Gas &amp; Electric Company</Company>
  <LinksUpToDate>false</LinksUpToDate>
  <CharactersWithSpaces>41806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PGECOHVC168</dc:title>
  <dc:creator>Jim Wyatt (PG&amp;E);Jason Wang (SCE)</dc:creator>
  <cp:lastModifiedBy>Voong, Tai</cp:lastModifiedBy>
  <cp:revision>33</cp:revision>
  <dcterms:created xsi:type="dcterms:W3CDTF">2018-07-27T22:50:00Z</dcterms:created>
  <dcterms:modified xsi:type="dcterms:W3CDTF">2018-12-10T23:10:00Z</dcterms:modified>
  <cp:contentStatus>Revision 2</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1731700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